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DE9B3" w14:textId="000388A4" w:rsidR="001156C6" w:rsidRPr="00B55E25" w:rsidRDefault="001156C6" w:rsidP="00B55E25">
      <w:pPr>
        <w:rPr>
          <w:rFonts w:cs="Arial"/>
        </w:rPr>
      </w:pPr>
      <w:bookmarkStart w:id="0" w:name="_Hlk39113806"/>
      <w:bookmarkEnd w:id="0"/>
      <w:r w:rsidRPr="00B55E25">
        <w:rPr>
          <w:rFonts w:cs="Arial"/>
        </w:rPr>
        <w:t xml:space="preserve">Project Number: </w:t>
      </w:r>
      <w:r w:rsidR="38AB9D51" w:rsidRPr="00B55E25">
        <w:rPr>
          <w:rFonts w:cs="Arial"/>
        </w:rPr>
        <w:t>54191-001</w:t>
      </w:r>
    </w:p>
    <w:p w14:paraId="08FB64AD" w14:textId="231BA1F9" w:rsidR="001156C6" w:rsidRPr="00B55E25" w:rsidRDefault="00F97A28" w:rsidP="006877C3">
      <w:pPr>
        <w:jc w:val="left"/>
        <w:rPr>
          <w:rFonts w:cs="Arial"/>
        </w:rPr>
      </w:pPr>
      <w:r>
        <w:rPr>
          <w:rFonts w:cs="Arial"/>
        </w:rPr>
        <w:t>May</w:t>
      </w:r>
      <w:r w:rsidR="00485650" w:rsidRPr="00B55E25">
        <w:rPr>
          <w:rFonts w:cs="Arial"/>
        </w:rPr>
        <w:t xml:space="preserve"> 2020</w:t>
      </w:r>
    </w:p>
    <w:p w14:paraId="2F5202DC" w14:textId="77777777" w:rsidR="001156C6" w:rsidRDefault="001156C6" w:rsidP="006877C3">
      <w:pPr>
        <w:jc w:val="left"/>
        <w:rPr>
          <w:rFonts w:cs="Arial"/>
          <w:color w:val="FF0000"/>
        </w:rPr>
      </w:pPr>
    </w:p>
    <w:p w14:paraId="78448CBB" w14:textId="77777777" w:rsidR="001156C6" w:rsidRDefault="001156C6" w:rsidP="006877C3">
      <w:pPr>
        <w:jc w:val="left"/>
        <w:rPr>
          <w:rFonts w:cs="Arial"/>
          <w:color w:val="FF0000"/>
        </w:rPr>
      </w:pPr>
    </w:p>
    <w:p w14:paraId="6F269660" w14:textId="77777777" w:rsidR="00465877" w:rsidRDefault="00465877" w:rsidP="001D5EC8">
      <w:pPr>
        <w:autoSpaceDE w:val="0"/>
        <w:autoSpaceDN w:val="0"/>
        <w:adjustRightInd w:val="0"/>
        <w:jc w:val="left"/>
        <w:rPr>
          <w:rFonts w:cs="Arial"/>
          <w:sz w:val="40"/>
          <w:szCs w:val="40"/>
        </w:rPr>
      </w:pPr>
    </w:p>
    <w:p w14:paraId="5562E5F9" w14:textId="3F2DE575" w:rsidR="001D5EC8" w:rsidRPr="00EA04EC" w:rsidRDefault="001D5EC8" w:rsidP="001D5EC8">
      <w:pPr>
        <w:autoSpaceDE w:val="0"/>
        <w:autoSpaceDN w:val="0"/>
        <w:adjustRightInd w:val="0"/>
        <w:jc w:val="left"/>
        <w:rPr>
          <w:rFonts w:cs="Arial"/>
          <w:sz w:val="40"/>
          <w:szCs w:val="40"/>
        </w:rPr>
      </w:pPr>
      <w:r w:rsidRPr="00EA04EC">
        <w:rPr>
          <w:rFonts w:cs="Arial"/>
          <w:sz w:val="40"/>
          <w:szCs w:val="40"/>
        </w:rPr>
        <w:t xml:space="preserve">Proposed </w:t>
      </w:r>
      <w:r w:rsidR="007C315B">
        <w:rPr>
          <w:rFonts w:cs="Arial"/>
          <w:sz w:val="40"/>
          <w:szCs w:val="40"/>
        </w:rPr>
        <w:t>Countercyclical</w:t>
      </w:r>
      <w:r w:rsidR="00BE7A0E">
        <w:rPr>
          <w:rFonts w:cs="Arial"/>
          <w:sz w:val="40"/>
          <w:szCs w:val="40"/>
        </w:rPr>
        <w:t xml:space="preserve"> Support Facility </w:t>
      </w:r>
      <w:r w:rsidRPr="00EA04EC">
        <w:rPr>
          <w:rFonts w:cs="Arial"/>
          <w:sz w:val="40"/>
          <w:szCs w:val="40"/>
        </w:rPr>
        <w:t>Loan</w:t>
      </w:r>
      <w:r>
        <w:rPr>
          <w:rFonts w:cs="Arial"/>
          <w:sz w:val="40"/>
          <w:szCs w:val="40"/>
        </w:rPr>
        <w:t xml:space="preserve"> </w:t>
      </w:r>
    </w:p>
    <w:p w14:paraId="3D5040FE" w14:textId="2BD7EE95" w:rsidR="001156C6" w:rsidRDefault="004D0410" w:rsidP="6107BAEB">
      <w:pPr>
        <w:autoSpaceDE w:val="0"/>
        <w:autoSpaceDN w:val="0"/>
        <w:adjustRightInd w:val="0"/>
        <w:jc w:val="left"/>
        <w:rPr>
          <w:rFonts w:cs="Arial"/>
          <w:sz w:val="40"/>
          <w:szCs w:val="40"/>
        </w:rPr>
      </w:pPr>
      <w:r w:rsidRPr="6107BAEB">
        <w:rPr>
          <w:rFonts w:cs="Arial"/>
          <w:sz w:val="40"/>
          <w:szCs w:val="40"/>
        </w:rPr>
        <w:t>Georgia</w:t>
      </w:r>
      <w:r w:rsidR="001156C6" w:rsidRPr="6107BAEB">
        <w:rPr>
          <w:rFonts w:cs="Arial"/>
          <w:sz w:val="40"/>
          <w:szCs w:val="40"/>
        </w:rPr>
        <w:t xml:space="preserve">: </w:t>
      </w:r>
      <w:r w:rsidR="00D521B6" w:rsidRPr="6107BAEB">
        <w:rPr>
          <w:rFonts w:cs="Arial"/>
          <w:sz w:val="40"/>
          <w:szCs w:val="40"/>
        </w:rPr>
        <w:t xml:space="preserve">COVID-19 </w:t>
      </w:r>
      <w:r w:rsidR="00220361" w:rsidRPr="6107BAEB">
        <w:rPr>
          <w:rFonts w:cs="Arial"/>
          <w:sz w:val="40"/>
          <w:szCs w:val="40"/>
        </w:rPr>
        <w:t>Active</w:t>
      </w:r>
      <w:r w:rsidRPr="6107BAEB">
        <w:rPr>
          <w:rFonts w:cs="Arial"/>
          <w:sz w:val="40"/>
          <w:szCs w:val="40"/>
        </w:rPr>
        <w:t xml:space="preserve"> Response and </w:t>
      </w:r>
      <w:r w:rsidR="000A717F" w:rsidRPr="6107BAEB">
        <w:rPr>
          <w:rFonts w:cs="Arial"/>
          <w:sz w:val="40"/>
          <w:szCs w:val="40"/>
        </w:rPr>
        <w:t>Expenditure</w:t>
      </w:r>
      <w:r w:rsidRPr="6107BAEB">
        <w:rPr>
          <w:rFonts w:cs="Arial"/>
          <w:sz w:val="40"/>
          <w:szCs w:val="40"/>
        </w:rPr>
        <w:t xml:space="preserve"> </w:t>
      </w:r>
      <w:r w:rsidR="000E551B" w:rsidRPr="6107BAEB">
        <w:rPr>
          <w:rFonts w:cs="Arial"/>
          <w:sz w:val="40"/>
          <w:szCs w:val="40"/>
        </w:rPr>
        <w:t xml:space="preserve">Support </w:t>
      </w:r>
      <w:r w:rsidRPr="6107BAEB">
        <w:rPr>
          <w:rFonts w:cs="Arial"/>
          <w:sz w:val="40"/>
          <w:szCs w:val="40"/>
        </w:rPr>
        <w:t>Program</w:t>
      </w:r>
    </w:p>
    <w:p w14:paraId="2158EA67" w14:textId="6B2536F3" w:rsidR="00A71B62" w:rsidRDefault="00A71B62">
      <w:pPr>
        <w:autoSpaceDE w:val="0"/>
        <w:autoSpaceDN w:val="0"/>
        <w:adjustRightInd w:val="0"/>
        <w:jc w:val="left"/>
        <w:rPr>
          <w:rFonts w:cs="Arial"/>
          <w:color w:val="FF0000"/>
          <w:sz w:val="40"/>
          <w:szCs w:val="40"/>
        </w:rPr>
      </w:pPr>
    </w:p>
    <w:p w14:paraId="0DB9F7B3" w14:textId="32604567" w:rsidR="00A71B62" w:rsidRDefault="00A71B62">
      <w:pPr>
        <w:autoSpaceDE w:val="0"/>
        <w:autoSpaceDN w:val="0"/>
        <w:adjustRightInd w:val="0"/>
        <w:jc w:val="left"/>
        <w:rPr>
          <w:rFonts w:cs="Arial"/>
          <w:color w:val="FF0000"/>
          <w:sz w:val="40"/>
          <w:szCs w:val="40"/>
        </w:rPr>
      </w:pPr>
    </w:p>
    <w:p w14:paraId="32533CD0" w14:textId="3E50BA79" w:rsidR="00A71B62" w:rsidRDefault="00A71B62">
      <w:pPr>
        <w:autoSpaceDE w:val="0"/>
        <w:autoSpaceDN w:val="0"/>
        <w:adjustRightInd w:val="0"/>
        <w:jc w:val="left"/>
        <w:rPr>
          <w:rFonts w:cs="Arial"/>
          <w:color w:val="FF0000"/>
          <w:sz w:val="40"/>
          <w:szCs w:val="40"/>
        </w:rPr>
      </w:pPr>
    </w:p>
    <w:p w14:paraId="2C06EC91" w14:textId="20AE45E1" w:rsidR="00A71B62" w:rsidRDefault="00A71B62">
      <w:pPr>
        <w:autoSpaceDE w:val="0"/>
        <w:autoSpaceDN w:val="0"/>
        <w:adjustRightInd w:val="0"/>
        <w:jc w:val="left"/>
        <w:rPr>
          <w:rFonts w:cs="Arial"/>
          <w:color w:val="FF0000"/>
          <w:sz w:val="40"/>
          <w:szCs w:val="40"/>
        </w:rPr>
      </w:pPr>
    </w:p>
    <w:p w14:paraId="58BB7BFD" w14:textId="2B907C0B" w:rsidR="00A71B62" w:rsidRDefault="00A71B62">
      <w:pPr>
        <w:autoSpaceDE w:val="0"/>
        <w:autoSpaceDN w:val="0"/>
        <w:adjustRightInd w:val="0"/>
        <w:jc w:val="left"/>
        <w:rPr>
          <w:rFonts w:cs="Arial"/>
          <w:color w:val="FF0000"/>
          <w:sz w:val="40"/>
          <w:szCs w:val="40"/>
        </w:rPr>
      </w:pPr>
    </w:p>
    <w:p w14:paraId="60F37162" w14:textId="7651B010" w:rsidR="00A71B62" w:rsidRDefault="00A71B62">
      <w:pPr>
        <w:autoSpaceDE w:val="0"/>
        <w:autoSpaceDN w:val="0"/>
        <w:adjustRightInd w:val="0"/>
        <w:jc w:val="left"/>
        <w:rPr>
          <w:rFonts w:cs="Arial"/>
          <w:color w:val="FF0000"/>
          <w:sz w:val="40"/>
          <w:szCs w:val="40"/>
        </w:rPr>
      </w:pPr>
    </w:p>
    <w:p w14:paraId="36DC527E" w14:textId="3D558F34" w:rsidR="00A71B62" w:rsidRDefault="00A71B62">
      <w:pPr>
        <w:autoSpaceDE w:val="0"/>
        <w:autoSpaceDN w:val="0"/>
        <w:adjustRightInd w:val="0"/>
        <w:jc w:val="left"/>
        <w:rPr>
          <w:rFonts w:cs="Arial"/>
          <w:color w:val="FF0000"/>
          <w:sz w:val="40"/>
          <w:szCs w:val="40"/>
        </w:rPr>
      </w:pPr>
    </w:p>
    <w:p w14:paraId="12F263B8" w14:textId="6B053289" w:rsidR="006F34E8" w:rsidRDefault="006F34E8">
      <w:pPr>
        <w:autoSpaceDE w:val="0"/>
        <w:autoSpaceDN w:val="0"/>
        <w:adjustRightInd w:val="0"/>
        <w:jc w:val="left"/>
        <w:rPr>
          <w:rFonts w:cs="Arial"/>
          <w:color w:val="FF0000"/>
          <w:sz w:val="40"/>
          <w:szCs w:val="40"/>
        </w:rPr>
      </w:pPr>
    </w:p>
    <w:p w14:paraId="4170AE86" w14:textId="77777777" w:rsidR="006F34E8" w:rsidRDefault="006F34E8">
      <w:pPr>
        <w:autoSpaceDE w:val="0"/>
        <w:autoSpaceDN w:val="0"/>
        <w:adjustRightInd w:val="0"/>
        <w:jc w:val="left"/>
        <w:rPr>
          <w:rFonts w:cs="Arial"/>
          <w:color w:val="FF0000"/>
          <w:sz w:val="40"/>
          <w:szCs w:val="40"/>
        </w:rPr>
      </w:pPr>
    </w:p>
    <w:p w14:paraId="4C086E71" w14:textId="4BC1EB26" w:rsidR="001156C6" w:rsidRDefault="00A71B62" w:rsidP="002C7704">
      <w:pPr>
        <w:rPr>
          <w:rFonts w:cs="Arial"/>
        </w:rPr>
        <w:sectPr w:rsidR="001156C6" w:rsidSect="00F65E50">
          <w:headerReference w:type="default" r:id="rId11"/>
          <w:footerReference w:type="default" r:id="rId12"/>
          <w:footnotePr>
            <w:numRestart w:val="eachSect"/>
          </w:footnotePr>
          <w:endnotePr>
            <w:numRestart w:val="eachSect"/>
          </w:endnotePr>
          <w:pgSz w:w="12240" w:h="15840"/>
          <w:pgMar w:top="4968" w:right="1440" w:bottom="1440" w:left="1440" w:header="720" w:footer="720" w:gutter="0"/>
          <w:cols w:space="720"/>
          <w:docGrid w:linePitch="360"/>
        </w:sectPr>
      </w:pPr>
      <w:r w:rsidRPr="00A71B62">
        <w:rPr>
          <w:rFonts w:cs="Arial"/>
        </w:rPr>
        <w:t>Distribution of this document is restricted until it has been approved by the Board of Directors. Following such approval, ADB will disclose the document to the public in accordance with ADB’s Public Communications Policy 2011.</w:t>
      </w:r>
    </w:p>
    <w:p w14:paraId="7A81B645" w14:textId="12654A95" w:rsidR="001156C6" w:rsidRPr="00D043F8" w:rsidRDefault="00BB526D" w:rsidP="00D043F8">
      <w:pPr>
        <w:pStyle w:val="FrontMatter"/>
      </w:pPr>
      <w:r w:rsidRPr="00D630BF">
        <w:lastRenderedPageBreak/>
        <w:t>Currency Equivalents</w:t>
      </w:r>
    </w:p>
    <w:p w14:paraId="5D3A715F" w14:textId="32BA44C4" w:rsidR="001156C6" w:rsidRDefault="001156C6" w:rsidP="00F93BBA">
      <w:pPr>
        <w:tabs>
          <w:tab w:val="center" w:pos="4680"/>
        </w:tabs>
        <w:jc w:val="center"/>
      </w:pPr>
      <w:r>
        <w:t xml:space="preserve">(as </w:t>
      </w:r>
      <w:r w:rsidRPr="00846466">
        <w:t xml:space="preserve">of </w:t>
      </w:r>
      <w:r w:rsidR="00607874">
        <w:t>7 May</w:t>
      </w:r>
      <w:r w:rsidR="00695AC5" w:rsidRPr="00846466">
        <w:t xml:space="preserve"> 2020)</w:t>
      </w:r>
    </w:p>
    <w:p w14:paraId="22C78D46" w14:textId="4EE97820" w:rsidR="00E11A1E" w:rsidRPr="00846466" w:rsidRDefault="00E11A1E" w:rsidP="00F93BBA">
      <w:pPr>
        <w:tabs>
          <w:tab w:val="center" w:pos="4680"/>
        </w:tabs>
        <w:jc w:val="center"/>
      </w:pPr>
    </w:p>
    <w:tbl>
      <w:tblPr>
        <w:tblW w:w="0" w:type="auto"/>
        <w:jc w:val="center"/>
        <w:tblBorders>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720"/>
        <w:gridCol w:w="5670"/>
      </w:tblGrid>
      <w:tr w:rsidR="001156C6" w:rsidRPr="00B009F8" w14:paraId="76D8C6DB" w14:textId="77777777" w:rsidTr="002312A6">
        <w:trPr>
          <w:jc w:val="center"/>
        </w:trPr>
        <w:tc>
          <w:tcPr>
            <w:tcW w:w="3168" w:type="dxa"/>
            <w:tcBorders>
              <w:top w:val="nil"/>
              <w:bottom w:val="nil"/>
              <w:right w:val="nil"/>
            </w:tcBorders>
          </w:tcPr>
          <w:p w14:paraId="7A948D4B" w14:textId="77777777" w:rsidR="001156C6" w:rsidRPr="00EE7959" w:rsidRDefault="001156C6" w:rsidP="00E85E44">
            <w:pPr>
              <w:jc w:val="right"/>
              <w:rPr>
                <w:color w:val="000000" w:themeColor="text1"/>
              </w:rPr>
            </w:pPr>
            <w:r w:rsidRPr="00EE7959">
              <w:rPr>
                <w:color w:val="000000" w:themeColor="text1"/>
              </w:rPr>
              <w:t xml:space="preserve">Currency </w:t>
            </w:r>
            <w:r w:rsidR="00E85E44" w:rsidRPr="00EE7959">
              <w:rPr>
                <w:color w:val="000000" w:themeColor="text1"/>
              </w:rPr>
              <w:t>unit</w:t>
            </w:r>
          </w:p>
        </w:tc>
        <w:tc>
          <w:tcPr>
            <w:tcW w:w="720" w:type="dxa"/>
            <w:tcBorders>
              <w:left w:val="nil"/>
              <w:right w:val="nil"/>
            </w:tcBorders>
          </w:tcPr>
          <w:p w14:paraId="2FFD600C" w14:textId="77777777" w:rsidR="001156C6" w:rsidRPr="00EE7959" w:rsidRDefault="001156C6" w:rsidP="00F93BBA">
            <w:pPr>
              <w:jc w:val="center"/>
              <w:rPr>
                <w:color w:val="000000" w:themeColor="text1"/>
              </w:rPr>
            </w:pPr>
            <w:r w:rsidRPr="00EE7959">
              <w:rPr>
                <w:color w:val="000000" w:themeColor="text1"/>
              </w:rPr>
              <w:t>–</w:t>
            </w:r>
          </w:p>
        </w:tc>
        <w:tc>
          <w:tcPr>
            <w:tcW w:w="5670" w:type="dxa"/>
            <w:tcBorders>
              <w:top w:val="nil"/>
              <w:left w:val="nil"/>
              <w:bottom w:val="nil"/>
              <w:right w:val="nil"/>
            </w:tcBorders>
          </w:tcPr>
          <w:p w14:paraId="265A721F" w14:textId="530B3EA4" w:rsidR="001156C6" w:rsidRPr="00EE7959" w:rsidRDefault="00695AC5" w:rsidP="00305D1E">
            <w:pPr>
              <w:rPr>
                <w:color w:val="000000" w:themeColor="text1"/>
              </w:rPr>
            </w:pPr>
            <w:r w:rsidRPr="00EE7959">
              <w:rPr>
                <w:color w:val="000000" w:themeColor="text1"/>
              </w:rPr>
              <w:t xml:space="preserve">Georgian </w:t>
            </w:r>
            <w:proofErr w:type="spellStart"/>
            <w:r w:rsidRPr="00EE7959">
              <w:rPr>
                <w:color w:val="000000" w:themeColor="text1"/>
              </w:rPr>
              <w:t>Lari</w:t>
            </w:r>
            <w:proofErr w:type="spellEnd"/>
            <w:r w:rsidR="001156C6" w:rsidRPr="00EE7959">
              <w:rPr>
                <w:color w:val="000000" w:themeColor="text1"/>
              </w:rPr>
              <w:t xml:space="preserve"> (</w:t>
            </w:r>
            <w:r w:rsidRPr="00EE7959">
              <w:rPr>
                <w:color w:val="000000" w:themeColor="text1"/>
              </w:rPr>
              <w:t>GEL</w:t>
            </w:r>
            <w:r w:rsidR="001156C6" w:rsidRPr="00EE7959">
              <w:rPr>
                <w:color w:val="000000" w:themeColor="text1"/>
              </w:rPr>
              <w:t>)</w:t>
            </w:r>
          </w:p>
        </w:tc>
      </w:tr>
    </w:tbl>
    <w:p w14:paraId="7551B737" w14:textId="77777777" w:rsidR="001156C6" w:rsidRPr="00EE7959" w:rsidRDefault="001156C6" w:rsidP="00F93BBA">
      <w:pPr>
        <w:rPr>
          <w:color w:val="000000" w:themeColor="text1"/>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720"/>
        <w:gridCol w:w="1440"/>
        <w:gridCol w:w="810"/>
        <w:gridCol w:w="3420"/>
      </w:tblGrid>
      <w:tr w:rsidR="001156C6" w:rsidRPr="00B009F8" w14:paraId="10B5BB1C" w14:textId="77777777" w:rsidTr="00846466">
        <w:trPr>
          <w:cantSplit/>
          <w:jc w:val="center"/>
        </w:trPr>
        <w:tc>
          <w:tcPr>
            <w:tcW w:w="3168" w:type="dxa"/>
            <w:tcBorders>
              <w:top w:val="nil"/>
              <w:left w:val="nil"/>
              <w:bottom w:val="nil"/>
              <w:right w:val="nil"/>
            </w:tcBorders>
          </w:tcPr>
          <w:p w14:paraId="5AEEBC54" w14:textId="0CAC5E96" w:rsidR="001156C6" w:rsidRPr="00EE7959" w:rsidRDefault="00FC3EB0" w:rsidP="00305D1E">
            <w:pPr>
              <w:jc w:val="right"/>
              <w:rPr>
                <w:color w:val="000000" w:themeColor="text1"/>
              </w:rPr>
            </w:pPr>
            <w:r w:rsidRPr="00EE7959">
              <w:rPr>
                <w:color w:val="000000" w:themeColor="text1"/>
              </w:rPr>
              <w:t>GEL</w:t>
            </w:r>
            <w:r w:rsidR="001156C6" w:rsidRPr="00EE7959">
              <w:rPr>
                <w:color w:val="000000" w:themeColor="text1"/>
              </w:rPr>
              <w:t>1.00</w:t>
            </w:r>
          </w:p>
        </w:tc>
        <w:tc>
          <w:tcPr>
            <w:tcW w:w="720" w:type="dxa"/>
            <w:tcBorders>
              <w:top w:val="nil"/>
              <w:left w:val="nil"/>
              <w:bottom w:val="nil"/>
              <w:right w:val="nil"/>
            </w:tcBorders>
          </w:tcPr>
          <w:p w14:paraId="13BBCC64" w14:textId="77777777" w:rsidR="001156C6" w:rsidRPr="00EE7959" w:rsidRDefault="001156C6" w:rsidP="00F93BBA">
            <w:pPr>
              <w:jc w:val="center"/>
              <w:rPr>
                <w:color w:val="000000" w:themeColor="text1"/>
              </w:rPr>
            </w:pPr>
            <w:r w:rsidRPr="00EE7959">
              <w:rPr>
                <w:color w:val="000000" w:themeColor="text1"/>
              </w:rPr>
              <w:t>=</w:t>
            </w:r>
          </w:p>
        </w:tc>
        <w:tc>
          <w:tcPr>
            <w:tcW w:w="1440" w:type="dxa"/>
            <w:tcBorders>
              <w:top w:val="nil"/>
              <w:left w:val="nil"/>
              <w:bottom w:val="nil"/>
              <w:right w:val="nil"/>
            </w:tcBorders>
          </w:tcPr>
          <w:p w14:paraId="269CE50E" w14:textId="7D393ABF" w:rsidR="001156C6" w:rsidRPr="00EE7959" w:rsidRDefault="00BC25B8" w:rsidP="00F93BBA">
            <w:pPr>
              <w:rPr>
                <w:color w:val="000000" w:themeColor="text1"/>
              </w:rPr>
            </w:pPr>
            <w:r w:rsidRPr="00EE7959">
              <w:rPr>
                <w:color w:val="000000" w:themeColor="text1"/>
              </w:rPr>
              <w:t>$0.31</w:t>
            </w:r>
            <w:r w:rsidR="00857DF0">
              <w:rPr>
                <w:color w:val="000000" w:themeColor="text1"/>
              </w:rPr>
              <w:t>25</w:t>
            </w:r>
          </w:p>
        </w:tc>
        <w:tc>
          <w:tcPr>
            <w:tcW w:w="810" w:type="dxa"/>
            <w:tcBorders>
              <w:top w:val="nil"/>
              <w:left w:val="nil"/>
              <w:bottom w:val="nil"/>
              <w:right w:val="nil"/>
            </w:tcBorders>
          </w:tcPr>
          <w:p w14:paraId="6C0C23EC" w14:textId="472152BE" w:rsidR="001156C6" w:rsidRPr="00EE7959" w:rsidRDefault="001156C6" w:rsidP="00846466">
            <w:pPr>
              <w:rPr>
                <w:color w:val="000000" w:themeColor="text1"/>
              </w:rPr>
            </w:pPr>
          </w:p>
        </w:tc>
        <w:tc>
          <w:tcPr>
            <w:tcW w:w="3420" w:type="dxa"/>
            <w:tcBorders>
              <w:top w:val="nil"/>
              <w:left w:val="nil"/>
              <w:bottom w:val="nil"/>
              <w:right w:val="nil"/>
            </w:tcBorders>
          </w:tcPr>
          <w:p w14:paraId="28CB0CC5" w14:textId="670B0D5C" w:rsidR="001156C6" w:rsidRPr="00EE7959" w:rsidRDefault="001156C6" w:rsidP="00F93BBA">
            <w:pPr>
              <w:rPr>
                <w:color w:val="000000" w:themeColor="text1"/>
              </w:rPr>
            </w:pPr>
          </w:p>
        </w:tc>
      </w:tr>
      <w:tr w:rsidR="001156C6" w:rsidRPr="00B009F8" w14:paraId="468EB4A8" w14:textId="77777777" w:rsidTr="00846466">
        <w:trPr>
          <w:cantSplit/>
          <w:jc w:val="center"/>
        </w:trPr>
        <w:tc>
          <w:tcPr>
            <w:tcW w:w="3168" w:type="dxa"/>
            <w:tcBorders>
              <w:top w:val="nil"/>
              <w:left w:val="nil"/>
              <w:bottom w:val="nil"/>
              <w:right w:val="nil"/>
            </w:tcBorders>
          </w:tcPr>
          <w:p w14:paraId="26D7D6F9" w14:textId="77777777" w:rsidR="001156C6" w:rsidRPr="00EE7959" w:rsidRDefault="001156C6" w:rsidP="00F93BBA">
            <w:pPr>
              <w:jc w:val="right"/>
              <w:rPr>
                <w:color w:val="000000" w:themeColor="text1"/>
              </w:rPr>
            </w:pPr>
            <w:r w:rsidRPr="00EE7959">
              <w:rPr>
                <w:color w:val="000000" w:themeColor="text1"/>
              </w:rPr>
              <w:t>$1.00</w:t>
            </w:r>
          </w:p>
        </w:tc>
        <w:tc>
          <w:tcPr>
            <w:tcW w:w="720" w:type="dxa"/>
            <w:tcBorders>
              <w:top w:val="nil"/>
              <w:left w:val="nil"/>
              <w:bottom w:val="nil"/>
              <w:right w:val="nil"/>
            </w:tcBorders>
          </w:tcPr>
          <w:p w14:paraId="415ED1F8" w14:textId="77777777" w:rsidR="001156C6" w:rsidRPr="00EE7959" w:rsidRDefault="001156C6" w:rsidP="00F93BBA">
            <w:pPr>
              <w:jc w:val="center"/>
              <w:rPr>
                <w:color w:val="000000" w:themeColor="text1"/>
              </w:rPr>
            </w:pPr>
            <w:r w:rsidRPr="00EE7959">
              <w:rPr>
                <w:color w:val="000000" w:themeColor="text1"/>
              </w:rPr>
              <w:t>=</w:t>
            </w:r>
          </w:p>
        </w:tc>
        <w:tc>
          <w:tcPr>
            <w:tcW w:w="1440" w:type="dxa"/>
            <w:tcBorders>
              <w:top w:val="nil"/>
              <w:left w:val="nil"/>
              <w:bottom w:val="nil"/>
              <w:right w:val="nil"/>
            </w:tcBorders>
          </w:tcPr>
          <w:p w14:paraId="6DA9E3D1" w14:textId="557C178F" w:rsidR="001156C6" w:rsidRPr="00EE7959" w:rsidRDefault="00BC25B8" w:rsidP="00305D1E">
            <w:pPr>
              <w:rPr>
                <w:color w:val="000000" w:themeColor="text1"/>
              </w:rPr>
            </w:pPr>
            <w:r w:rsidRPr="00EE7959">
              <w:rPr>
                <w:color w:val="000000" w:themeColor="text1"/>
              </w:rPr>
              <w:t>GEL3.</w:t>
            </w:r>
            <w:r w:rsidR="00F429A8">
              <w:rPr>
                <w:color w:val="000000" w:themeColor="text1"/>
              </w:rPr>
              <w:t>2</w:t>
            </w:r>
            <w:r w:rsidR="00607874">
              <w:rPr>
                <w:color w:val="000000" w:themeColor="text1"/>
              </w:rPr>
              <w:t>00</w:t>
            </w:r>
          </w:p>
        </w:tc>
        <w:tc>
          <w:tcPr>
            <w:tcW w:w="810" w:type="dxa"/>
            <w:tcBorders>
              <w:top w:val="nil"/>
              <w:left w:val="nil"/>
              <w:bottom w:val="nil"/>
              <w:right w:val="nil"/>
            </w:tcBorders>
          </w:tcPr>
          <w:p w14:paraId="2995C921" w14:textId="43163CA5" w:rsidR="001156C6" w:rsidRPr="00EE7959" w:rsidRDefault="001156C6" w:rsidP="00F93BBA">
            <w:pPr>
              <w:jc w:val="center"/>
              <w:rPr>
                <w:color w:val="000000" w:themeColor="text1"/>
              </w:rPr>
            </w:pPr>
          </w:p>
        </w:tc>
        <w:tc>
          <w:tcPr>
            <w:tcW w:w="3420" w:type="dxa"/>
            <w:tcBorders>
              <w:top w:val="nil"/>
              <w:left w:val="nil"/>
              <w:bottom w:val="nil"/>
              <w:right w:val="nil"/>
            </w:tcBorders>
          </w:tcPr>
          <w:p w14:paraId="7251C8BB" w14:textId="68C3AF90" w:rsidR="001156C6" w:rsidRPr="00EE7959" w:rsidRDefault="001156C6" w:rsidP="00F93BBA">
            <w:pPr>
              <w:rPr>
                <w:color w:val="000000" w:themeColor="text1"/>
              </w:rPr>
            </w:pPr>
          </w:p>
        </w:tc>
      </w:tr>
      <w:tr w:rsidR="00846466" w:rsidRPr="00B009F8" w14:paraId="44DFED52" w14:textId="77777777" w:rsidTr="00846466">
        <w:trPr>
          <w:cantSplit/>
          <w:jc w:val="center"/>
        </w:trPr>
        <w:tc>
          <w:tcPr>
            <w:tcW w:w="3168" w:type="dxa"/>
            <w:tcBorders>
              <w:top w:val="nil"/>
              <w:left w:val="nil"/>
              <w:bottom w:val="nil"/>
              <w:right w:val="nil"/>
            </w:tcBorders>
          </w:tcPr>
          <w:p w14:paraId="6BB55B48" w14:textId="5110ED05" w:rsidR="00846466" w:rsidRPr="00EE7959" w:rsidRDefault="00846466" w:rsidP="00F93BBA">
            <w:pPr>
              <w:jc w:val="right"/>
              <w:rPr>
                <w:color w:val="000000" w:themeColor="text1"/>
              </w:rPr>
            </w:pPr>
          </w:p>
        </w:tc>
        <w:tc>
          <w:tcPr>
            <w:tcW w:w="720" w:type="dxa"/>
            <w:tcBorders>
              <w:top w:val="nil"/>
              <w:left w:val="nil"/>
              <w:bottom w:val="nil"/>
              <w:right w:val="nil"/>
            </w:tcBorders>
          </w:tcPr>
          <w:p w14:paraId="277BD996" w14:textId="21C3012D" w:rsidR="00846466" w:rsidRPr="00EE7959" w:rsidRDefault="00846466" w:rsidP="00F93BBA">
            <w:pPr>
              <w:jc w:val="center"/>
              <w:rPr>
                <w:color w:val="000000" w:themeColor="text1"/>
              </w:rPr>
            </w:pPr>
          </w:p>
        </w:tc>
        <w:tc>
          <w:tcPr>
            <w:tcW w:w="1440" w:type="dxa"/>
            <w:tcBorders>
              <w:top w:val="nil"/>
              <w:left w:val="nil"/>
              <w:bottom w:val="nil"/>
              <w:right w:val="nil"/>
            </w:tcBorders>
          </w:tcPr>
          <w:p w14:paraId="55570FDB" w14:textId="358929FB" w:rsidR="00846466" w:rsidRPr="00EE7959" w:rsidRDefault="00846466" w:rsidP="00305D1E">
            <w:pPr>
              <w:rPr>
                <w:color w:val="000000" w:themeColor="text1"/>
              </w:rPr>
            </w:pPr>
          </w:p>
        </w:tc>
        <w:tc>
          <w:tcPr>
            <w:tcW w:w="810" w:type="dxa"/>
            <w:tcBorders>
              <w:top w:val="nil"/>
              <w:left w:val="nil"/>
              <w:bottom w:val="nil"/>
              <w:right w:val="nil"/>
            </w:tcBorders>
          </w:tcPr>
          <w:p w14:paraId="08081F86" w14:textId="7D4D7DC5" w:rsidR="00846466" w:rsidRPr="00EE7959" w:rsidRDefault="00846466" w:rsidP="00F93BBA">
            <w:pPr>
              <w:jc w:val="center"/>
              <w:rPr>
                <w:color w:val="000000" w:themeColor="text1"/>
              </w:rPr>
            </w:pPr>
          </w:p>
        </w:tc>
        <w:tc>
          <w:tcPr>
            <w:tcW w:w="3420" w:type="dxa"/>
            <w:tcBorders>
              <w:top w:val="nil"/>
              <w:left w:val="nil"/>
              <w:bottom w:val="nil"/>
              <w:right w:val="nil"/>
            </w:tcBorders>
          </w:tcPr>
          <w:p w14:paraId="3AAE1ECA" w14:textId="0CA34D47" w:rsidR="00846466" w:rsidRPr="00EE7959" w:rsidRDefault="00846466" w:rsidP="00F93BBA">
            <w:pPr>
              <w:rPr>
                <w:color w:val="000000" w:themeColor="text1"/>
              </w:rPr>
            </w:pPr>
          </w:p>
        </w:tc>
      </w:tr>
    </w:tbl>
    <w:p w14:paraId="5DA036A2" w14:textId="4EE97820" w:rsidR="001156C6" w:rsidRDefault="001156C6" w:rsidP="00A120A1">
      <w:pPr>
        <w:rPr>
          <w:color w:val="FF0000"/>
        </w:rPr>
      </w:pPr>
    </w:p>
    <w:p w14:paraId="3D45841F" w14:textId="4EE97820" w:rsidR="00E11A1E" w:rsidRDefault="00E11A1E" w:rsidP="00A120A1">
      <w:pPr>
        <w:rPr>
          <w:color w:val="FF0000"/>
        </w:rPr>
      </w:pPr>
    </w:p>
    <w:p w14:paraId="1084ED09" w14:textId="77777777" w:rsidR="001156C6" w:rsidRDefault="001156C6" w:rsidP="00F93BBA">
      <w:pPr>
        <w:jc w:val="center"/>
      </w:pPr>
      <w:r>
        <w:rPr>
          <w:b/>
        </w:rPr>
        <w:t>ABBREVIATIONS</w:t>
      </w:r>
    </w:p>
    <w:p w14:paraId="56862286" w14:textId="77777777" w:rsidR="001156C6" w:rsidRDefault="001156C6" w:rsidP="00F93BBA"/>
    <w:tbl>
      <w:tblPr>
        <w:tblW w:w="9630" w:type="dxa"/>
        <w:jc w:val="center"/>
        <w:tblLayout w:type="fixed"/>
        <w:tblLook w:val="0000" w:firstRow="0" w:lastRow="0" w:firstColumn="0" w:lastColumn="0" w:noHBand="0" w:noVBand="0"/>
      </w:tblPr>
      <w:tblGrid>
        <w:gridCol w:w="1458"/>
        <w:gridCol w:w="1242"/>
        <w:gridCol w:w="900"/>
        <w:gridCol w:w="6030"/>
      </w:tblGrid>
      <w:tr w:rsidR="001156C6" w14:paraId="5576C1A2" w14:textId="77777777" w:rsidTr="00EE7959">
        <w:trPr>
          <w:jc w:val="center"/>
        </w:trPr>
        <w:tc>
          <w:tcPr>
            <w:tcW w:w="1458" w:type="dxa"/>
          </w:tcPr>
          <w:p w14:paraId="72E7479E" w14:textId="77777777" w:rsidR="001156C6" w:rsidRDefault="001156C6" w:rsidP="00F93BBA"/>
        </w:tc>
        <w:tc>
          <w:tcPr>
            <w:tcW w:w="1242" w:type="dxa"/>
          </w:tcPr>
          <w:p w14:paraId="074A62B9" w14:textId="77777777" w:rsidR="001156C6" w:rsidRDefault="00846466" w:rsidP="00F93BBA">
            <w:r w:rsidRPr="00180613">
              <w:t>ADB</w:t>
            </w:r>
          </w:p>
          <w:p w14:paraId="2DB3698B" w14:textId="2B2E81A5" w:rsidR="00561D0B" w:rsidRPr="00180613" w:rsidRDefault="00561D0B" w:rsidP="00F93BBA">
            <w:r>
              <w:t>AFD</w:t>
            </w:r>
          </w:p>
        </w:tc>
        <w:tc>
          <w:tcPr>
            <w:tcW w:w="900" w:type="dxa"/>
          </w:tcPr>
          <w:p w14:paraId="5E014090" w14:textId="77777777" w:rsidR="001156C6" w:rsidRDefault="001156C6" w:rsidP="00F93BBA">
            <w:pPr>
              <w:jc w:val="center"/>
            </w:pPr>
            <w:r w:rsidRPr="00180613">
              <w:t>–</w:t>
            </w:r>
          </w:p>
          <w:p w14:paraId="56E4B7C3" w14:textId="77777777" w:rsidR="00AF6E64" w:rsidRPr="00180613" w:rsidRDefault="00AF6E64" w:rsidP="00F93BBA">
            <w:pPr>
              <w:jc w:val="center"/>
            </w:pPr>
            <w:r w:rsidRPr="00180613">
              <w:t>–</w:t>
            </w:r>
          </w:p>
        </w:tc>
        <w:tc>
          <w:tcPr>
            <w:tcW w:w="6030" w:type="dxa"/>
          </w:tcPr>
          <w:p w14:paraId="34E61FBA" w14:textId="77777777" w:rsidR="001156C6" w:rsidRDefault="0048035F" w:rsidP="00F93BBA">
            <w:pPr>
              <w:jc w:val="left"/>
            </w:pPr>
            <w:r w:rsidRPr="00180613">
              <w:t>Asian Development Bank</w:t>
            </w:r>
          </w:p>
          <w:p w14:paraId="1F6A8B82" w14:textId="64B70416" w:rsidR="00561D0B" w:rsidRPr="00180613" w:rsidRDefault="00561D0B" w:rsidP="00F93BBA">
            <w:pPr>
              <w:jc w:val="left"/>
            </w:pPr>
            <w:proofErr w:type="spellStart"/>
            <w:r>
              <w:t>Agence</w:t>
            </w:r>
            <w:proofErr w:type="spellEnd"/>
            <w:r>
              <w:t xml:space="preserve"> </w:t>
            </w:r>
            <w:proofErr w:type="spellStart"/>
            <w:r>
              <w:t>Française</w:t>
            </w:r>
            <w:proofErr w:type="spellEnd"/>
            <w:r>
              <w:t xml:space="preserve"> de </w:t>
            </w:r>
            <w:proofErr w:type="spellStart"/>
            <w:r>
              <w:t>Developpement</w:t>
            </w:r>
            <w:proofErr w:type="spellEnd"/>
          </w:p>
        </w:tc>
      </w:tr>
      <w:tr w:rsidR="001156C6" w14:paraId="226479C3" w14:textId="77777777" w:rsidTr="00EE7959">
        <w:trPr>
          <w:jc w:val="center"/>
        </w:trPr>
        <w:tc>
          <w:tcPr>
            <w:tcW w:w="1458" w:type="dxa"/>
          </w:tcPr>
          <w:p w14:paraId="47EF41A9" w14:textId="77777777" w:rsidR="001156C6" w:rsidRDefault="001156C6" w:rsidP="00F93BBA"/>
        </w:tc>
        <w:tc>
          <w:tcPr>
            <w:tcW w:w="1242" w:type="dxa"/>
          </w:tcPr>
          <w:p w14:paraId="7F296C3B" w14:textId="4EAFA87A" w:rsidR="00CE2ACF" w:rsidRDefault="00CE2ACF" w:rsidP="00F93BBA">
            <w:r>
              <w:t>AIIB</w:t>
            </w:r>
          </w:p>
          <w:p w14:paraId="05304419" w14:textId="13675B62" w:rsidR="00561D0B" w:rsidRDefault="00561D0B" w:rsidP="00F93BBA">
            <w:r>
              <w:t>CGS</w:t>
            </w:r>
          </w:p>
          <w:p w14:paraId="7D20A965" w14:textId="77777777" w:rsidR="001156C6" w:rsidRDefault="00A505DF" w:rsidP="00F93BBA">
            <w:r>
              <w:t>COVID-19</w:t>
            </w:r>
          </w:p>
          <w:p w14:paraId="40B6DA1E" w14:textId="4158EAB0" w:rsidR="00561D0B" w:rsidRPr="00180613" w:rsidRDefault="00561D0B" w:rsidP="00F93BBA">
            <w:r>
              <w:t>CPRO</w:t>
            </w:r>
          </w:p>
        </w:tc>
        <w:tc>
          <w:tcPr>
            <w:tcW w:w="900" w:type="dxa"/>
          </w:tcPr>
          <w:p w14:paraId="6366F84E" w14:textId="04137334" w:rsidR="00CE2ACF" w:rsidRDefault="00CE2ACF" w:rsidP="00F93BBA">
            <w:pPr>
              <w:jc w:val="center"/>
            </w:pPr>
            <w:r w:rsidRPr="00180613">
              <w:t>–</w:t>
            </w:r>
          </w:p>
          <w:p w14:paraId="14A711C1" w14:textId="43DF2A4F" w:rsidR="001156C6" w:rsidRDefault="001156C6" w:rsidP="00F93BBA">
            <w:pPr>
              <w:jc w:val="center"/>
            </w:pPr>
            <w:r w:rsidRPr="00180613">
              <w:t>–</w:t>
            </w:r>
          </w:p>
          <w:p w14:paraId="40BE10D0" w14:textId="77777777" w:rsidR="00AF6E64" w:rsidRDefault="00AF6E64" w:rsidP="00F93BBA">
            <w:pPr>
              <w:jc w:val="center"/>
            </w:pPr>
            <w:r w:rsidRPr="00180613">
              <w:t>–</w:t>
            </w:r>
          </w:p>
          <w:p w14:paraId="41DA960D" w14:textId="77777777" w:rsidR="00AF6E64" w:rsidRPr="00180613" w:rsidRDefault="00AF6E64" w:rsidP="00F93BBA">
            <w:pPr>
              <w:jc w:val="center"/>
            </w:pPr>
            <w:r w:rsidRPr="00180613">
              <w:t>–</w:t>
            </w:r>
          </w:p>
        </w:tc>
        <w:tc>
          <w:tcPr>
            <w:tcW w:w="6030" w:type="dxa"/>
          </w:tcPr>
          <w:p w14:paraId="34DCB6CF" w14:textId="6478A9B5" w:rsidR="00CE2ACF" w:rsidRDefault="00CE2ACF" w:rsidP="00F93BBA">
            <w:pPr>
              <w:jc w:val="left"/>
            </w:pPr>
            <w:r>
              <w:t>Asian Infrastructure and Investment Bank</w:t>
            </w:r>
          </w:p>
          <w:p w14:paraId="25F2DE18" w14:textId="0050BFDA" w:rsidR="00561D0B" w:rsidRDefault="00561D0B" w:rsidP="00F93BBA">
            <w:pPr>
              <w:jc w:val="left"/>
            </w:pPr>
            <w:r>
              <w:t>Credit Guarantee Scheme</w:t>
            </w:r>
          </w:p>
          <w:p w14:paraId="51F10FCE" w14:textId="77777777" w:rsidR="001156C6" w:rsidRDefault="0048035F" w:rsidP="00F93BBA">
            <w:pPr>
              <w:jc w:val="left"/>
            </w:pPr>
            <w:r w:rsidRPr="00180613">
              <w:t xml:space="preserve">Coronavirus </w:t>
            </w:r>
            <w:r w:rsidR="009A40EA">
              <w:t xml:space="preserve">disease </w:t>
            </w:r>
            <w:r w:rsidRPr="00180613">
              <w:t>2019</w:t>
            </w:r>
          </w:p>
          <w:p w14:paraId="79BB52CD" w14:textId="1646D0CD" w:rsidR="00561D0B" w:rsidRPr="00180613" w:rsidRDefault="00561D0B" w:rsidP="00F93BBA">
            <w:pPr>
              <w:jc w:val="left"/>
            </w:pPr>
            <w:r>
              <w:t>COVID-19 Pandemic Response Option</w:t>
            </w:r>
          </w:p>
        </w:tc>
      </w:tr>
      <w:tr w:rsidR="001156C6" w14:paraId="1B6CE14D" w14:textId="77777777" w:rsidTr="00EE7959">
        <w:trPr>
          <w:jc w:val="center"/>
        </w:trPr>
        <w:tc>
          <w:tcPr>
            <w:tcW w:w="1458" w:type="dxa"/>
          </w:tcPr>
          <w:p w14:paraId="039FE7EA" w14:textId="77777777" w:rsidR="001156C6" w:rsidRDefault="001156C6" w:rsidP="00F93BBA"/>
        </w:tc>
        <w:tc>
          <w:tcPr>
            <w:tcW w:w="1242" w:type="dxa"/>
          </w:tcPr>
          <w:p w14:paraId="2890A6B8" w14:textId="3EEBB24E" w:rsidR="0048035F" w:rsidRPr="00180613" w:rsidRDefault="0048035F" w:rsidP="00F93BBA">
            <w:r w:rsidRPr="00180613">
              <w:t>DMC</w:t>
            </w:r>
          </w:p>
        </w:tc>
        <w:tc>
          <w:tcPr>
            <w:tcW w:w="900" w:type="dxa"/>
          </w:tcPr>
          <w:p w14:paraId="5058A8D9" w14:textId="77777777" w:rsidR="001156C6" w:rsidRPr="00180613" w:rsidRDefault="001156C6" w:rsidP="00F93BBA">
            <w:pPr>
              <w:jc w:val="center"/>
            </w:pPr>
            <w:r w:rsidRPr="00180613">
              <w:t>–</w:t>
            </w:r>
          </w:p>
        </w:tc>
        <w:tc>
          <w:tcPr>
            <w:tcW w:w="6030" w:type="dxa"/>
          </w:tcPr>
          <w:p w14:paraId="74527C06" w14:textId="003687C3" w:rsidR="001156C6" w:rsidRPr="00180613" w:rsidRDefault="00046CAB" w:rsidP="00F93BBA">
            <w:pPr>
              <w:jc w:val="left"/>
            </w:pPr>
            <w:r>
              <w:t>d</w:t>
            </w:r>
            <w:r w:rsidR="0048035F" w:rsidRPr="00180613">
              <w:t>eveloping member country</w:t>
            </w:r>
          </w:p>
        </w:tc>
      </w:tr>
      <w:tr w:rsidR="0048035F" w14:paraId="26CA9AF3" w14:textId="77777777" w:rsidTr="00EE7959">
        <w:trPr>
          <w:jc w:val="center"/>
        </w:trPr>
        <w:tc>
          <w:tcPr>
            <w:tcW w:w="1458" w:type="dxa"/>
          </w:tcPr>
          <w:p w14:paraId="4F032FA7" w14:textId="77777777" w:rsidR="0048035F" w:rsidRDefault="0048035F" w:rsidP="00F93BBA"/>
        </w:tc>
        <w:tc>
          <w:tcPr>
            <w:tcW w:w="1242" w:type="dxa"/>
          </w:tcPr>
          <w:p w14:paraId="4AF6C84F" w14:textId="234312B2" w:rsidR="000828EC" w:rsidRDefault="000828EC" w:rsidP="00F93BBA">
            <w:r>
              <w:t>DSA</w:t>
            </w:r>
          </w:p>
          <w:p w14:paraId="58FF23EE" w14:textId="18F6B126" w:rsidR="00031B68" w:rsidRDefault="00031B68" w:rsidP="00F93BBA">
            <w:r>
              <w:t>EBR</w:t>
            </w:r>
            <w:r w:rsidR="0031614D">
              <w:t>D</w:t>
            </w:r>
          </w:p>
          <w:p w14:paraId="2A6CA781" w14:textId="77777777" w:rsidR="0048035F" w:rsidRDefault="005D2332" w:rsidP="00F93BBA">
            <w:r w:rsidRPr="00180613">
              <w:t>EFF</w:t>
            </w:r>
          </w:p>
          <w:p w14:paraId="4847FE85" w14:textId="57C5F3EC" w:rsidR="00561D0B" w:rsidRPr="00180613" w:rsidRDefault="00561D0B" w:rsidP="00F93BBA">
            <w:r>
              <w:t>EU</w:t>
            </w:r>
          </w:p>
        </w:tc>
        <w:tc>
          <w:tcPr>
            <w:tcW w:w="900" w:type="dxa"/>
          </w:tcPr>
          <w:p w14:paraId="7753220B" w14:textId="2FBBCF2D" w:rsidR="000828EC" w:rsidRDefault="000828EC" w:rsidP="00F93BBA">
            <w:pPr>
              <w:jc w:val="center"/>
            </w:pPr>
            <w:r w:rsidRPr="00180613">
              <w:t>–</w:t>
            </w:r>
          </w:p>
          <w:p w14:paraId="4C42AD8C" w14:textId="5F3109D5" w:rsidR="0031614D" w:rsidRDefault="0031614D" w:rsidP="00F93BBA">
            <w:pPr>
              <w:jc w:val="center"/>
            </w:pPr>
            <w:r w:rsidRPr="00180613">
              <w:t>–</w:t>
            </w:r>
          </w:p>
          <w:p w14:paraId="200AC6C0" w14:textId="77777777" w:rsidR="0048035F" w:rsidRDefault="005D2332" w:rsidP="00F93BBA">
            <w:pPr>
              <w:jc w:val="center"/>
            </w:pPr>
            <w:r w:rsidRPr="00180613">
              <w:t>–</w:t>
            </w:r>
          </w:p>
          <w:p w14:paraId="0CFC20E4" w14:textId="5796C7A1" w:rsidR="00AF6E64" w:rsidRPr="00180613" w:rsidRDefault="00AF6E64" w:rsidP="00F93BBA">
            <w:pPr>
              <w:jc w:val="center"/>
            </w:pPr>
            <w:r w:rsidRPr="00180613">
              <w:t>–</w:t>
            </w:r>
          </w:p>
        </w:tc>
        <w:tc>
          <w:tcPr>
            <w:tcW w:w="6030" w:type="dxa"/>
          </w:tcPr>
          <w:p w14:paraId="69D4A718" w14:textId="73DD779F" w:rsidR="000828EC" w:rsidRDefault="000828EC" w:rsidP="00F93BBA">
            <w:pPr>
              <w:jc w:val="left"/>
            </w:pPr>
            <w:r>
              <w:t>Debt Sustainability Assessment</w:t>
            </w:r>
          </w:p>
          <w:p w14:paraId="4B9FA921" w14:textId="5307B5C2" w:rsidR="0031614D" w:rsidRDefault="0031614D" w:rsidP="00F93BBA">
            <w:pPr>
              <w:jc w:val="left"/>
            </w:pPr>
            <w:r>
              <w:t>European Bank for Reconstruction and Development</w:t>
            </w:r>
          </w:p>
          <w:p w14:paraId="00027AD0" w14:textId="77777777" w:rsidR="0048035F" w:rsidRDefault="005D2332" w:rsidP="00F93BBA">
            <w:pPr>
              <w:jc w:val="left"/>
            </w:pPr>
            <w:r w:rsidRPr="00180613">
              <w:t>Extended Fund Facility</w:t>
            </w:r>
          </w:p>
          <w:p w14:paraId="3F8685DF" w14:textId="580E7EB0" w:rsidR="00561D0B" w:rsidRPr="00180613" w:rsidRDefault="00561D0B" w:rsidP="00F93BBA">
            <w:pPr>
              <w:jc w:val="left"/>
            </w:pPr>
            <w:r>
              <w:t>European Union</w:t>
            </w:r>
          </w:p>
        </w:tc>
      </w:tr>
      <w:tr w:rsidR="0048035F" w14:paraId="2BC955C5" w14:textId="77777777" w:rsidTr="00EE7959">
        <w:trPr>
          <w:jc w:val="center"/>
        </w:trPr>
        <w:tc>
          <w:tcPr>
            <w:tcW w:w="1458" w:type="dxa"/>
          </w:tcPr>
          <w:p w14:paraId="1E4C8E4C" w14:textId="77777777" w:rsidR="0048035F" w:rsidRDefault="0048035F" w:rsidP="00F93BBA"/>
        </w:tc>
        <w:tc>
          <w:tcPr>
            <w:tcW w:w="1242" w:type="dxa"/>
          </w:tcPr>
          <w:p w14:paraId="75F83CCF" w14:textId="51506645" w:rsidR="00031B68" w:rsidRDefault="00031B68" w:rsidP="00F93BBA">
            <w:r>
              <w:t>FAO</w:t>
            </w:r>
          </w:p>
          <w:p w14:paraId="79FBC80E" w14:textId="38CD4701" w:rsidR="0048035F" w:rsidRPr="00180613" w:rsidRDefault="00F90959" w:rsidP="00F93BBA">
            <w:r w:rsidRPr="00180613">
              <w:t>GDP</w:t>
            </w:r>
          </w:p>
        </w:tc>
        <w:tc>
          <w:tcPr>
            <w:tcW w:w="900" w:type="dxa"/>
          </w:tcPr>
          <w:p w14:paraId="3437F8C7" w14:textId="6AA337BD" w:rsidR="00031B68" w:rsidRDefault="00031B68" w:rsidP="00F93BBA">
            <w:pPr>
              <w:jc w:val="center"/>
            </w:pPr>
            <w:r w:rsidRPr="00180613">
              <w:t>–</w:t>
            </w:r>
          </w:p>
          <w:p w14:paraId="4B36C81B" w14:textId="0586C6F5" w:rsidR="0048035F" w:rsidRPr="00180613" w:rsidRDefault="005D2332" w:rsidP="00F93BBA">
            <w:pPr>
              <w:jc w:val="center"/>
            </w:pPr>
            <w:r w:rsidRPr="00180613">
              <w:t>–</w:t>
            </w:r>
          </w:p>
        </w:tc>
        <w:tc>
          <w:tcPr>
            <w:tcW w:w="6030" w:type="dxa"/>
          </w:tcPr>
          <w:p w14:paraId="27D0ED49" w14:textId="57600BD0" w:rsidR="00031B68" w:rsidRDefault="00031B68" w:rsidP="00F93BBA">
            <w:pPr>
              <w:jc w:val="left"/>
            </w:pPr>
            <w:r>
              <w:t>Food and Agriculture Organization</w:t>
            </w:r>
          </w:p>
          <w:p w14:paraId="0FA799F0" w14:textId="193DD8A8" w:rsidR="0048035F" w:rsidRPr="00180613" w:rsidRDefault="6343D554" w:rsidP="00F93BBA">
            <w:pPr>
              <w:jc w:val="left"/>
            </w:pPr>
            <w:r>
              <w:t>G</w:t>
            </w:r>
            <w:r w:rsidR="447D938B">
              <w:t xml:space="preserve">ross </w:t>
            </w:r>
            <w:r w:rsidR="27BA5DEA">
              <w:t>D</w:t>
            </w:r>
            <w:r w:rsidR="447D938B">
              <w:t xml:space="preserve">omestic </w:t>
            </w:r>
            <w:r w:rsidR="246B5F20">
              <w:t>P</w:t>
            </w:r>
            <w:r w:rsidR="447D938B">
              <w:t>roduct</w:t>
            </w:r>
          </w:p>
        </w:tc>
      </w:tr>
      <w:tr w:rsidR="0048035F" w14:paraId="3545FAEE" w14:textId="77777777" w:rsidTr="00EE7959">
        <w:trPr>
          <w:trHeight w:val="198"/>
          <w:jc w:val="center"/>
        </w:trPr>
        <w:tc>
          <w:tcPr>
            <w:tcW w:w="1458" w:type="dxa"/>
          </w:tcPr>
          <w:p w14:paraId="0ECFD6CA" w14:textId="77777777" w:rsidR="0048035F" w:rsidRDefault="0048035F" w:rsidP="00F93BBA"/>
        </w:tc>
        <w:tc>
          <w:tcPr>
            <w:tcW w:w="1242" w:type="dxa"/>
          </w:tcPr>
          <w:p w14:paraId="566FCD69" w14:textId="5F677B0C" w:rsidR="0048035F" w:rsidRPr="00180613" w:rsidRDefault="00954E54" w:rsidP="00F93BBA">
            <w:r w:rsidRPr="00180613">
              <w:t>GEL</w:t>
            </w:r>
          </w:p>
        </w:tc>
        <w:tc>
          <w:tcPr>
            <w:tcW w:w="900" w:type="dxa"/>
          </w:tcPr>
          <w:p w14:paraId="1A2820AB" w14:textId="1FC4B65D" w:rsidR="00954E54" w:rsidRPr="00180613" w:rsidRDefault="00954E54" w:rsidP="0019273B">
            <w:pPr>
              <w:jc w:val="center"/>
            </w:pPr>
            <w:r w:rsidRPr="00180613">
              <w:t>–</w:t>
            </w:r>
          </w:p>
        </w:tc>
        <w:tc>
          <w:tcPr>
            <w:tcW w:w="6030" w:type="dxa"/>
          </w:tcPr>
          <w:p w14:paraId="107A0CB3" w14:textId="59FA51D2" w:rsidR="0048035F" w:rsidRPr="00180613" w:rsidRDefault="00954E54" w:rsidP="00F93BBA">
            <w:pPr>
              <w:jc w:val="left"/>
            </w:pPr>
            <w:r w:rsidRPr="00180613">
              <w:t xml:space="preserve">Georgian </w:t>
            </w:r>
            <w:proofErr w:type="spellStart"/>
            <w:r w:rsidRPr="00180613">
              <w:t>Lari</w:t>
            </w:r>
            <w:proofErr w:type="spellEnd"/>
          </w:p>
        </w:tc>
      </w:tr>
      <w:tr w:rsidR="00581ADA" w14:paraId="5AC54C5C" w14:textId="77777777" w:rsidTr="00A505DF">
        <w:trPr>
          <w:jc w:val="center"/>
        </w:trPr>
        <w:tc>
          <w:tcPr>
            <w:tcW w:w="1458" w:type="dxa"/>
          </w:tcPr>
          <w:p w14:paraId="28EB8068" w14:textId="77777777" w:rsidR="00581ADA" w:rsidRDefault="00581ADA" w:rsidP="00F93BBA"/>
        </w:tc>
        <w:tc>
          <w:tcPr>
            <w:tcW w:w="1242" w:type="dxa"/>
          </w:tcPr>
          <w:p w14:paraId="155214D9" w14:textId="3DD8990D" w:rsidR="00B94E4E" w:rsidRPr="002A06F7" w:rsidRDefault="00B94E4E" w:rsidP="00F93BBA">
            <w:r w:rsidRPr="002A06F7">
              <w:t>IACC</w:t>
            </w:r>
          </w:p>
          <w:p w14:paraId="62AD08B0" w14:textId="4B519F1E" w:rsidR="00581ADA" w:rsidRPr="0033162D" w:rsidRDefault="00581ADA" w:rsidP="00F93BBA">
            <w:r w:rsidRPr="00193946">
              <w:t>IMF</w:t>
            </w:r>
          </w:p>
          <w:p w14:paraId="39654A6D" w14:textId="789096A8" w:rsidR="001318DC" w:rsidRPr="00F867DF" w:rsidRDefault="000639E1" w:rsidP="00F93BBA">
            <w:proofErr w:type="spellStart"/>
            <w:r w:rsidRPr="00BE47BF">
              <w:t>KfW</w:t>
            </w:r>
            <w:proofErr w:type="spellEnd"/>
          </w:p>
          <w:p w14:paraId="5D0ABFAE" w14:textId="536DE133" w:rsidR="00561D0B" w:rsidRPr="00B12F1D" w:rsidRDefault="00561D0B" w:rsidP="00F93BBA">
            <w:r w:rsidRPr="00B12F1D">
              <w:t>MEPA</w:t>
            </w:r>
          </w:p>
          <w:p w14:paraId="3D15F16C" w14:textId="77777777" w:rsidR="00561D0B" w:rsidRPr="007C6BE9" w:rsidRDefault="00561D0B" w:rsidP="00F93BBA"/>
          <w:p w14:paraId="6DA9E7D3" w14:textId="6719367C" w:rsidR="00561D0B" w:rsidRPr="003B0108" w:rsidRDefault="00561D0B" w:rsidP="00F93BBA">
            <w:proofErr w:type="spellStart"/>
            <w:r w:rsidRPr="003B0108">
              <w:t>MoILHSA</w:t>
            </w:r>
            <w:proofErr w:type="spellEnd"/>
          </w:p>
        </w:tc>
        <w:tc>
          <w:tcPr>
            <w:tcW w:w="900" w:type="dxa"/>
          </w:tcPr>
          <w:p w14:paraId="08600BE1" w14:textId="77777777" w:rsidR="00B94E4E" w:rsidRDefault="00B94E4E" w:rsidP="00B94E4E">
            <w:pPr>
              <w:jc w:val="center"/>
            </w:pPr>
            <w:r w:rsidRPr="00180613">
              <w:t>–</w:t>
            </w:r>
          </w:p>
          <w:p w14:paraId="42FC7191" w14:textId="77777777" w:rsidR="00B94E4E" w:rsidRDefault="00B94E4E" w:rsidP="00B94E4E">
            <w:pPr>
              <w:jc w:val="center"/>
            </w:pPr>
            <w:r w:rsidRPr="00180613">
              <w:t>–</w:t>
            </w:r>
          </w:p>
          <w:p w14:paraId="5DF40603" w14:textId="77777777" w:rsidR="00B94E4E" w:rsidRDefault="00B94E4E" w:rsidP="00B94E4E">
            <w:pPr>
              <w:jc w:val="center"/>
            </w:pPr>
            <w:r w:rsidRPr="00180613">
              <w:t>–</w:t>
            </w:r>
          </w:p>
          <w:p w14:paraId="0B3137FA" w14:textId="77777777" w:rsidR="001C083C" w:rsidRDefault="001C083C" w:rsidP="001C083C">
            <w:pPr>
              <w:jc w:val="center"/>
            </w:pPr>
            <w:r w:rsidRPr="00180613">
              <w:t>–</w:t>
            </w:r>
          </w:p>
          <w:p w14:paraId="41201F5D" w14:textId="77777777" w:rsidR="00B94E4E" w:rsidRDefault="00B94E4E" w:rsidP="00F93BBA">
            <w:pPr>
              <w:jc w:val="center"/>
            </w:pPr>
          </w:p>
          <w:p w14:paraId="531446B9" w14:textId="18F50799" w:rsidR="00581ADA" w:rsidRDefault="00581ADA" w:rsidP="00F93BBA">
            <w:pPr>
              <w:jc w:val="center"/>
            </w:pPr>
          </w:p>
          <w:p w14:paraId="2A2F85E3" w14:textId="18FEFD07" w:rsidR="00AF6E64" w:rsidRPr="00180613" w:rsidRDefault="000639E1" w:rsidP="00743C75">
            <w:pPr>
              <w:jc w:val="center"/>
            </w:pPr>
            <w:r w:rsidRPr="00180613">
              <w:t>–</w:t>
            </w:r>
          </w:p>
        </w:tc>
        <w:tc>
          <w:tcPr>
            <w:tcW w:w="6030" w:type="dxa"/>
          </w:tcPr>
          <w:p w14:paraId="50CF58B2" w14:textId="571E5DAC" w:rsidR="00B94E4E" w:rsidRDefault="00B94E4E" w:rsidP="00F93BBA">
            <w:pPr>
              <w:jc w:val="left"/>
            </w:pPr>
            <w:r>
              <w:t>Inter-Agency Coordination Council for COVID-19</w:t>
            </w:r>
          </w:p>
          <w:p w14:paraId="25AB8B6C" w14:textId="0F307398" w:rsidR="00581ADA" w:rsidRDefault="00581ADA" w:rsidP="00F93BBA">
            <w:pPr>
              <w:jc w:val="left"/>
            </w:pPr>
            <w:r w:rsidRPr="00180613">
              <w:t>International Monetary Fund</w:t>
            </w:r>
          </w:p>
          <w:p w14:paraId="2ECFFE33" w14:textId="20A40C1D" w:rsidR="001318DC" w:rsidRDefault="000639E1" w:rsidP="00F93BBA">
            <w:pPr>
              <w:jc w:val="left"/>
            </w:pPr>
            <w:proofErr w:type="spellStart"/>
            <w:r w:rsidRPr="000639E1">
              <w:t>Kreditanstalt</w:t>
            </w:r>
            <w:proofErr w:type="spellEnd"/>
            <w:r w:rsidRPr="000639E1">
              <w:t xml:space="preserve"> </w:t>
            </w:r>
            <w:proofErr w:type="spellStart"/>
            <w:r w:rsidRPr="000639E1">
              <w:t>für</w:t>
            </w:r>
            <w:proofErr w:type="spellEnd"/>
            <w:r w:rsidRPr="000639E1">
              <w:t xml:space="preserve"> </w:t>
            </w:r>
            <w:proofErr w:type="spellStart"/>
            <w:r w:rsidRPr="000639E1">
              <w:t>Wiederaufbau</w:t>
            </w:r>
            <w:proofErr w:type="spellEnd"/>
          </w:p>
          <w:p w14:paraId="3A2C8C70" w14:textId="62AD562E" w:rsidR="00561D0B" w:rsidRDefault="00561D0B" w:rsidP="00F93BBA">
            <w:pPr>
              <w:jc w:val="left"/>
            </w:pPr>
            <w:r w:rsidRPr="00561D0B">
              <w:t>Ministry of Environment Protection and Agriculture of Georgia</w:t>
            </w:r>
          </w:p>
          <w:p w14:paraId="7C300F3B" w14:textId="71BA0756" w:rsidR="00561D0B" w:rsidRPr="00180613" w:rsidRDefault="00561D0B" w:rsidP="00F93BBA">
            <w:pPr>
              <w:jc w:val="left"/>
            </w:pPr>
            <w:r w:rsidRPr="00561D0B">
              <w:t>Ministry of Internally Displaced Persons from the Occupied Territories, Labor, Health and Social Affairs</w:t>
            </w:r>
          </w:p>
        </w:tc>
      </w:tr>
      <w:tr w:rsidR="006C2DD7" w14:paraId="25DE1010" w14:textId="77777777" w:rsidTr="00A505DF">
        <w:trPr>
          <w:jc w:val="center"/>
        </w:trPr>
        <w:tc>
          <w:tcPr>
            <w:tcW w:w="1458" w:type="dxa"/>
          </w:tcPr>
          <w:p w14:paraId="05C21DDD" w14:textId="77777777" w:rsidR="006C2DD7" w:rsidRDefault="006C2DD7" w:rsidP="00F93BBA"/>
        </w:tc>
        <w:tc>
          <w:tcPr>
            <w:tcW w:w="1242" w:type="dxa"/>
          </w:tcPr>
          <w:p w14:paraId="03006C60" w14:textId="3C79E7D6" w:rsidR="006C2DD7" w:rsidRPr="00180613" w:rsidRDefault="006C2DD7" w:rsidP="00F93BBA">
            <w:r>
              <w:t>MOF</w:t>
            </w:r>
          </w:p>
        </w:tc>
        <w:tc>
          <w:tcPr>
            <w:tcW w:w="900" w:type="dxa"/>
          </w:tcPr>
          <w:p w14:paraId="424A3E1F" w14:textId="43769108" w:rsidR="006C2DD7" w:rsidRPr="00180613" w:rsidRDefault="006C2DD7" w:rsidP="00F93BBA">
            <w:pPr>
              <w:jc w:val="center"/>
            </w:pPr>
            <w:r w:rsidRPr="00180613">
              <w:t>–</w:t>
            </w:r>
          </w:p>
        </w:tc>
        <w:tc>
          <w:tcPr>
            <w:tcW w:w="6030" w:type="dxa"/>
          </w:tcPr>
          <w:p w14:paraId="353DFB4A" w14:textId="03F24F2A" w:rsidR="006C2DD7" w:rsidRPr="00180613" w:rsidRDefault="006C2DD7" w:rsidP="00F93BBA">
            <w:pPr>
              <w:jc w:val="left"/>
            </w:pPr>
            <w:r>
              <w:t>Ministry of Finance</w:t>
            </w:r>
          </w:p>
        </w:tc>
      </w:tr>
      <w:tr w:rsidR="00295FF7" w14:paraId="17BB122E" w14:textId="77777777" w:rsidTr="00A505DF">
        <w:trPr>
          <w:jc w:val="center"/>
        </w:trPr>
        <w:tc>
          <w:tcPr>
            <w:tcW w:w="1458" w:type="dxa"/>
          </w:tcPr>
          <w:p w14:paraId="77017A07" w14:textId="77777777" w:rsidR="00295FF7" w:rsidRDefault="00295FF7" w:rsidP="00F93BBA"/>
        </w:tc>
        <w:tc>
          <w:tcPr>
            <w:tcW w:w="1242" w:type="dxa"/>
          </w:tcPr>
          <w:p w14:paraId="5DD063D6" w14:textId="77777777" w:rsidR="00295FF7" w:rsidRDefault="00295FF7" w:rsidP="00F93BBA">
            <w:r>
              <w:t>NBG</w:t>
            </w:r>
          </w:p>
          <w:p w14:paraId="0EB35AA1" w14:textId="2C27301D" w:rsidR="00561D0B" w:rsidRDefault="00561D0B" w:rsidP="00F93BBA">
            <w:r>
              <w:t>NCD</w:t>
            </w:r>
          </w:p>
        </w:tc>
        <w:tc>
          <w:tcPr>
            <w:tcW w:w="900" w:type="dxa"/>
          </w:tcPr>
          <w:p w14:paraId="64322E9E" w14:textId="77777777" w:rsidR="00295FF7" w:rsidRDefault="00295FF7" w:rsidP="00F93BBA">
            <w:pPr>
              <w:jc w:val="center"/>
            </w:pPr>
            <w:r w:rsidRPr="00180613">
              <w:t>–</w:t>
            </w:r>
          </w:p>
          <w:p w14:paraId="11A87E2D" w14:textId="0AEDA394" w:rsidR="00561D0B" w:rsidRPr="00180613" w:rsidRDefault="00AF6E64" w:rsidP="00AF6E64">
            <w:pPr>
              <w:jc w:val="center"/>
            </w:pPr>
            <w:r w:rsidRPr="00180613">
              <w:t>–</w:t>
            </w:r>
          </w:p>
        </w:tc>
        <w:tc>
          <w:tcPr>
            <w:tcW w:w="6030" w:type="dxa"/>
          </w:tcPr>
          <w:p w14:paraId="706474EE" w14:textId="77777777" w:rsidR="00295FF7" w:rsidRDefault="00295FF7" w:rsidP="00F93BBA">
            <w:pPr>
              <w:jc w:val="left"/>
            </w:pPr>
            <w:r>
              <w:t>National Bank of Georgia</w:t>
            </w:r>
          </w:p>
          <w:p w14:paraId="07FD33DB" w14:textId="3C80D65E" w:rsidR="00561D0B" w:rsidRDefault="00561D0B" w:rsidP="00F93BBA">
            <w:pPr>
              <w:jc w:val="left"/>
            </w:pPr>
            <w:r>
              <w:t>Non-communicable Disease</w:t>
            </w:r>
          </w:p>
        </w:tc>
      </w:tr>
      <w:tr w:rsidR="001451FD" w14:paraId="03EFC4C1" w14:textId="77777777" w:rsidTr="00A505DF">
        <w:trPr>
          <w:jc w:val="center"/>
        </w:trPr>
        <w:tc>
          <w:tcPr>
            <w:tcW w:w="1458" w:type="dxa"/>
          </w:tcPr>
          <w:p w14:paraId="0C7F7C85" w14:textId="77777777" w:rsidR="001451FD" w:rsidRDefault="001451FD" w:rsidP="00F93BBA"/>
        </w:tc>
        <w:tc>
          <w:tcPr>
            <w:tcW w:w="1242" w:type="dxa"/>
          </w:tcPr>
          <w:p w14:paraId="11D8B836" w14:textId="1E7B3D85" w:rsidR="001451FD" w:rsidRPr="00180613" w:rsidRDefault="001451FD" w:rsidP="00F93BBA">
            <w:r>
              <w:t>NPI</w:t>
            </w:r>
          </w:p>
        </w:tc>
        <w:tc>
          <w:tcPr>
            <w:tcW w:w="900" w:type="dxa"/>
          </w:tcPr>
          <w:p w14:paraId="421FA471" w14:textId="36AFC441" w:rsidR="001451FD" w:rsidRPr="00180613" w:rsidRDefault="001451FD" w:rsidP="00F93BBA">
            <w:pPr>
              <w:jc w:val="center"/>
            </w:pPr>
            <w:r w:rsidRPr="00180613">
              <w:t>–</w:t>
            </w:r>
          </w:p>
        </w:tc>
        <w:tc>
          <w:tcPr>
            <w:tcW w:w="6030" w:type="dxa"/>
          </w:tcPr>
          <w:p w14:paraId="52F45F10" w14:textId="78F3D009" w:rsidR="001451FD" w:rsidRPr="00180613" w:rsidRDefault="001451FD" w:rsidP="00F93BBA">
            <w:pPr>
              <w:jc w:val="left"/>
            </w:pPr>
            <w:r>
              <w:t>non-pharmaceutical intervention</w:t>
            </w:r>
          </w:p>
        </w:tc>
      </w:tr>
      <w:tr w:rsidR="0048035F" w14:paraId="2EEBE8A6" w14:textId="77777777" w:rsidTr="00EE7959">
        <w:trPr>
          <w:jc w:val="center"/>
        </w:trPr>
        <w:tc>
          <w:tcPr>
            <w:tcW w:w="1458" w:type="dxa"/>
          </w:tcPr>
          <w:p w14:paraId="684C95EE" w14:textId="77777777" w:rsidR="0048035F" w:rsidRDefault="0048035F" w:rsidP="00F93BBA"/>
        </w:tc>
        <w:tc>
          <w:tcPr>
            <w:tcW w:w="1242" w:type="dxa"/>
          </w:tcPr>
          <w:p w14:paraId="3AC75F27" w14:textId="28F3A1FD" w:rsidR="00561D0B" w:rsidRDefault="00561D0B" w:rsidP="00F93BBA">
            <w:r>
              <w:t>PPP</w:t>
            </w:r>
          </w:p>
          <w:p w14:paraId="512B738D" w14:textId="31F90F29" w:rsidR="0048035F" w:rsidRDefault="00DC600D" w:rsidP="00F93BBA">
            <w:r w:rsidRPr="00180613">
              <w:t>PFM</w:t>
            </w:r>
          </w:p>
          <w:p w14:paraId="40269DE8" w14:textId="234C256F" w:rsidR="00561D0B" w:rsidRDefault="00561D0B" w:rsidP="00F93BBA">
            <w:r>
              <w:t>SME</w:t>
            </w:r>
          </w:p>
          <w:p w14:paraId="5E04A37F" w14:textId="59EF3C61" w:rsidR="00561D0B" w:rsidRDefault="00561D0B" w:rsidP="00F93BBA">
            <w:r>
              <w:t>SOE</w:t>
            </w:r>
          </w:p>
          <w:p w14:paraId="1442CD8F" w14:textId="77777777" w:rsidR="00561D0B" w:rsidRDefault="00561D0B" w:rsidP="00F93BBA">
            <w:r>
              <w:t>WHO</w:t>
            </w:r>
          </w:p>
          <w:p w14:paraId="5D20A932" w14:textId="5AA301FC" w:rsidR="00561D0B" w:rsidRPr="00180613" w:rsidRDefault="00561D0B" w:rsidP="00F93BBA">
            <w:r>
              <w:t>VAT</w:t>
            </w:r>
          </w:p>
        </w:tc>
        <w:tc>
          <w:tcPr>
            <w:tcW w:w="900" w:type="dxa"/>
          </w:tcPr>
          <w:p w14:paraId="3DE4CD4F" w14:textId="77777777" w:rsidR="0048035F" w:rsidRDefault="005D2332" w:rsidP="00F93BBA">
            <w:pPr>
              <w:jc w:val="center"/>
            </w:pPr>
            <w:r w:rsidRPr="00180613">
              <w:t>–</w:t>
            </w:r>
          </w:p>
          <w:p w14:paraId="1F773EDA" w14:textId="77777777" w:rsidR="00561D0B" w:rsidRDefault="00AF6E64" w:rsidP="00F93BBA">
            <w:pPr>
              <w:jc w:val="center"/>
            </w:pPr>
            <w:r w:rsidRPr="00180613">
              <w:t>–</w:t>
            </w:r>
          </w:p>
          <w:p w14:paraId="3E2161D2" w14:textId="77777777" w:rsidR="00AF6E64" w:rsidRDefault="00AF6E64" w:rsidP="00F93BBA">
            <w:pPr>
              <w:jc w:val="center"/>
            </w:pPr>
            <w:r w:rsidRPr="00180613">
              <w:t>–</w:t>
            </w:r>
          </w:p>
          <w:p w14:paraId="36792332" w14:textId="77777777" w:rsidR="00AF6E64" w:rsidRDefault="00AF6E64" w:rsidP="00F93BBA">
            <w:pPr>
              <w:jc w:val="center"/>
            </w:pPr>
            <w:r w:rsidRPr="00180613">
              <w:t>–</w:t>
            </w:r>
          </w:p>
          <w:p w14:paraId="548C66A3" w14:textId="77777777" w:rsidR="00AF6E64" w:rsidRDefault="00AF6E64" w:rsidP="00F93BBA">
            <w:pPr>
              <w:jc w:val="center"/>
            </w:pPr>
            <w:r w:rsidRPr="00180613">
              <w:t>–</w:t>
            </w:r>
          </w:p>
          <w:p w14:paraId="4907C5EB" w14:textId="294A62D8" w:rsidR="00AF6E64" w:rsidRPr="00180613" w:rsidRDefault="00AF6E64" w:rsidP="00F93BBA">
            <w:pPr>
              <w:jc w:val="center"/>
            </w:pPr>
            <w:r w:rsidRPr="00180613">
              <w:t>–</w:t>
            </w:r>
          </w:p>
        </w:tc>
        <w:tc>
          <w:tcPr>
            <w:tcW w:w="6030" w:type="dxa"/>
          </w:tcPr>
          <w:p w14:paraId="263D7F42" w14:textId="138BDECC" w:rsidR="00561D0B" w:rsidRDefault="00561D0B" w:rsidP="00F93BBA">
            <w:pPr>
              <w:jc w:val="left"/>
            </w:pPr>
            <w:r>
              <w:t xml:space="preserve">Public Private Partnership </w:t>
            </w:r>
          </w:p>
          <w:p w14:paraId="07B6D695" w14:textId="259A29AC" w:rsidR="0048035F" w:rsidRDefault="00DC600D" w:rsidP="00F93BBA">
            <w:pPr>
              <w:jc w:val="left"/>
            </w:pPr>
            <w:r w:rsidRPr="00180613">
              <w:t>Public Financial Management</w:t>
            </w:r>
          </w:p>
          <w:p w14:paraId="2E5F3D1C" w14:textId="2021127B" w:rsidR="00561D0B" w:rsidRDefault="00561D0B" w:rsidP="00F93BBA">
            <w:pPr>
              <w:jc w:val="left"/>
            </w:pPr>
            <w:r>
              <w:t>Small and medium enterprise</w:t>
            </w:r>
          </w:p>
          <w:p w14:paraId="5CCFC700" w14:textId="7E56C747" w:rsidR="00561D0B" w:rsidRDefault="00561D0B" w:rsidP="00F93BBA">
            <w:pPr>
              <w:jc w:val="left"/>
            </w:pPr>
            <w:r>
              <w:t>State Owned Enterprise</w:t>
            </w:r>
          </w:p>
          <w:p w14:paraId="1A17B5C0" w14:textId="77777777" w:rsidR="00561D0B" w:rsidRDefault="00561D0B" w:rsidP="00F93BBA">
            <w:pPr>
              <w:jc w:val="left"/>
            </w:pPr>
            <w:r>
              <w:t>World Health Organization</w:t>
            </w:r>
          </w:p>
          <w:p w14:paraId="4A40B1A5" w14:textId="4F5A86CE" w:rsidR="00561D0B" w:rsidRPr="00180613" w:rsidRDefault="00561D0B" w:rsidP="00F93BBA">
            <w:pPr>
              <w:jc w:val="left"/>
            </w:pPr>
            <w:r>
              <w:t>Value Added Tax</w:t>
            </w:r>
          </w:p>
        </w:tc>
      </w:tr>
    </w:tbl>
    <w:p w14:paraId="3B0C08D6" w14:textId="4EE97820" w:rsidR="001156C6" w:rsidRDefault="001156C6" w:rsidP="00F93BBA"/>
    <w:p w14:paraId="7018631A" w14:textId="4EE97820" w:rsidR="00E11A1E" w:rsidRDefault="00E11A1E" w:rsidP="00F93BBA"/>
    <w:p w14:paraId="0F157A5C" w14:textId="2D2DD3F7" w:rsidR="001156C6" w:rsidRDefault="001156C6" w:rsidP="00F93BBA">
      <w:pPr>
        <w:jc w:val="center"/>
        <w:rPr>
          <w:b/>
        </w:rPr>
      </w:pPr>
      <w:r w:rsidRPr="004824AB">
        <w:rPr>
          <w:b/>
        </w:rPr>
        <w:t>NOTES</w:t>
      </w:r>
    </w:p>
    <w:p w14:paraId="51DA3131" w14:textId="4EE97820" w:rsidR="00E11A1E" w:rsidRPr="004824AB" w:rsidRDefault="00E11A1E" w:rsidP="00F93BBA">
      <w:pPr>
        <w:jc w:val="center"/>
      </w:pPr>
    </w:p>
    <w:p w14:paraId="4D8D0A8D" w14:textId="77777777" w:rsidR="006F559A" w:rsidRPr="00180613" w:rsidRDefault="001156C6" w:rsidP="006F559A">
      <w:pPr>
        <w:numPr>
          <w:ilvl w:val="0"/>
          <w:numId w:val="1"/>
        </w:numPr>
        <w:spacing w:after="240"/>
      </w:pPr>
      <w:r w:rsidRPr="00180613">
        <w:t xml:space="preserve">The fiscal year (FY) of the Government of </w:t>
      </w:r>
      <w:r w:rsidR="006A2C44" w:rsidRPr="00180613">
        <w:t>Georgia</w:t>
      </w:r>
      <w:r w:rsidRPr="00180613">
        <w:t xml:space="preserve"> ends on </w:t>
      </w:r>
      <w:r w:rsidR="006A2C44" w:rsidRPr="00180613">
        <w:t>31 December</w:t>
      </w:r>
      <w:r w:rsidRPr="00180613">
        <w:t xml:space="preserve">. </w:t>
      </w:r>
    </w:p>
    <w:p w14:paraId="57CDCD04" w14:textId="4EE97820" w:rsidR="001156C6" w:rsidRDefault="001156C6" w:rsidP="00180613">
      <w:pPr>
        <w:numPr>
          <w:ilvl w:val="0"/>
          <w:numId w:val="1"/>
        </w:numPr>
        <w:spacing w:after="240"/>
        <w:rPr>
          <w:rFonts w:cs="Arial"/>
        </w:rPr>
      </w:pPr>
      <w:r w:rsidRPr="00180613">
        <w:t xml:space="preserve">In this report, </w:t>
      </w:r>
      <w:r w:rsidR="009A44D2" w:rsidRPr="00180613">
        <w:t>“</w:t>
      </w:r>
      <w:r w:rsidRPr="00180613">
        <w:t>$</w:t>
      </w:r>
      <w:r w:rsidR="009A44D2" w:rsidRPr="00180613">
        <w:t>”</w:t>
      </w:r>
      <w:r w:rsidRPr="00180613">
        <w:t xml:space="preserve"> refers to U</w:t>
      </w:r>
      <w:r w:rsidR="00CD11A8" w:rsidRPr="00180613">
        <w:t xml:space="preserve">nited </w:t>
      </w:r>
      <w:r w:rsidRPr="00180613">
        <w:t>S</w:t>
      </w:r>
      <w:r w:rsidR="00CD11A8" w:rsidRPr="00180613">
        <w:t>tates</w:t>
      </w:r>
      <w:r w:rsidRPr="00180613">
        <w:t xml:space="preserve"> dollars</w:t>
      </w:r>
      <w:r w:rsidR="00AD30FF">
        <w:t>.</w:t>
      </w:r>
      <w:r w:rsidRPr="00180613">
        <w:t xml:space="preserve"> </w:t>
      </w:r>
      <w:r w:rsidR="006F559A" w:rsidRPr="00180613">
        <w:rPr>
          <w:rFonts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88"/>
        <w:gridCol w:w="6862"/>
      </w:tblGrid>
      <w:tr w:rsidR="00582643" w:rsidRPr="00BD4E7D" w14:paraId="02AD0E1F" w14:textId="77777777" w:rsidTr="00A42AC7">
        <w:trPr>
          <w:jc w:val="center"/>
        </w:trPr>
        <w:tc>
          <w:tcPr>
            <w:tcW w:w="2488" w:type="dxa"/>
            <w:tcBorders>
              <w:bottom w:val="nil"/>
              <w:right w:val="nil"/>
            </w:tcBorders>
          </w:tcPr>
          <w:p w14:paraId="6F297F2C" w14:textId="77777777" w:rsidR="00582643" w:rsidRPr="00840B7F" w:rsidRDefault="00582643" w:rsidP="00A42AC7">
            <w:pPr>
              <w:keepNext/>
              <w:jc w:val="left"/>
            </w:pPr>
            <w:r w:rsidRPr="00CB6EEA">
              <w:rPr>
                <w:b/>
              </w:rPr>
              <w:lastRenderedPageBreak/>
              <w:t>Vice-President</w:t>
            </w:r>
          </w:p>
        </w:tc>
        <w:tc>
          <w:tcPr>
            <w:tcW w:w="6862" w:type="dxa"/>
            <w:tcBorders>
              <w:left w:val="nil"/>
              <w:bottom w:val="nil"/>
            </w:tcBorders>
          </w:tcPr>
          <w:p w14:paraId="2600AB01" w14:textId="77777777" w:rsidR="00582643" w:rsidRPr="0003593A" w:rsidRDefault="00582643" w:rsidP="00A42AC7">
            <w:pPr>
              <w:keepNext/>
              <w:jc w:val="left"/>
            </w:pPr>
            <w:proofErr w:type="spellStart"/>
            <w:r w:rsidRPr="0003593A">
              <w:t>Shixin</w:t>
            </w:r>
            <w:proofErr w:type="spellEnd"/>
            <w:r w:rsidRPr="0003593A">
              <w:t xml:space="preserve"> Chen, Operations 1</w:t>
            </w:r>
          </w:p>
        </w:tc>
      </w:tr>
      <w:tr w:rsidR="00582643" w:rsidRPr="00BD4E7D" w14:paraId="5BD42063" w14:textId="77777777" w:rsidTr="00A42AC7">
        <w:trPr>
          <w:jc w:val="center"/>
        </w:trPr>
        <w:tc>
          <w:tcPr>
            <w:tcW w:w="2488" w:type="dxa"/>
            <w:tcBorders>
              <w:top w:val="nil"/>
              <w:bottom w:val="nil"/>
              <w:right w:val="nil"/>
            </w:tcBorders>
          </w:tcPr>
          <w:p w14:paraId="44037D0D" w14:textId="77777777" w:rsidR="00582643" w:rsidRPr="00CB6EEA" w:rsidRDefault="00582643" w:rsidP="00A42AC7">
            <w:pPr>
              <w:keepNext/>
              <w:jc w:val="left"/>
            </w:pPr>
            <w:r w:rsidRPr="00840B7F">
              <w:rPr>
                <w:b/>
              </w:rPr>
              <w:t>Director General</w:t>
            </w:r>
          </w:p>
        </w:tc>
        <w:tc>
          <w:tcPr>
            <w:tcW w:w="6862" w:type="dxa"/>
            <w:tcBorders>
              <w:top w:val="nil"/>
              <w:left w:val="nil"/>
              <w:bottom w:val="nil"/>
            </w:tcBorders>
          </w:tcPr>
          <w:p w14:paraId="54E121A2" w14:textId="77777777" w:rsidR="00582643" w:rsidRPr="0003593A" w:rsidRDefault="00582643" w:rsidP="00A42AC7">
            <w:pPr>
              <w:keepNext/>
              <w:jc w:val="left"/>
            </w:pPr>
            <w:r w:rsidRPr="0003593A">
              <w:t xml:space="preserve">Werner E. Liepach, Central and West Asia Department (CWRD), </w:t>
            </w:r>
          </w:p>
        </w:tc>
      </w:tr>
      <w:tr w:rsidR="00582643" w:rsidRPr="00BD4E7D" w14:paraId="05B3EC5C" w14:textId="77777777" w:rsidTr="00A42AC7">
        <w:trPr>
          <w:jc w:val="center"/>
        </w:trPr>
        <w:tc>
          <w:tcPr>
            <w:tcW w:w="2488" w:type="dxa"/>
            <w:tcBorders>
              <w:top w:val="nil"/>
              <w:bottom w:val="nil"/>
              <w:right w:val="nil"/>
            </w:tcBorders>
          </w:tcPr>
          <w:p w14:paraId="73EB5C50" w14:textId="77777777" w:rsidR="00582643" w:rsidRPr="00840B7F" w:rsidRDefault="00582643" w:rsidP="00A42AC7">
            <w:pPr>
              <w:keepNext/>
              <w:jc w:val="left"/>
            </w:pPr>
            <w:r w:rsidRPr="00CB6EEA">
              <w:rPr>
                <w:b/>
              </w:rPr>
              <w:t>Director</w:t>
            </w:r>
          </w:p>
        </w:tc>
        <w:tc>
          <w:tcPr>
            <w:tcW w:w="6862" w:type="dxa"/>
            <w:tcBorders>
              <w:top w:val="nil"/>
              <w:left w:val="nil"/>
              <w:bottom w:val="nil"/>
            </w:tcBorders>
          </w:tcPr>
          <w:p w14:paraId="27416DEA" w14:textId="77777777" w:rsidR="00582643" w:rsidRDefault="00582643" w:rsidP="00A42AC7">
            <w:pPr>
              <w:keepNext/>
              <w:jc w:val="left"/>
            </w:pPr>
            <w:r w:rsidRPr="0003593A">
              <w:t xml:space="preserve">Tariq H. Niazi, Public Management, Financial Sector, and Trade Division, </w:t>
            </w:r>
            <w:r>
              <w:t>(</w:t>
            </w:r>
            <w:r w:rsidRPr="0003593A">
              <w:t>CW</w:t>
            </w:r>
            <w:r>
              <w:t>PF), CWRD</w:t>
            </w:r>
          </w:p>
          <w:p w14:paraId="14225F6F" w14:textId="77777777" w:rsidR="00582643" w:rsidRPr="0003593A" w:rsidRDefault="00582643" w:rsidP="00A42AC7">
            <w:pPr>
              <w:keepNext/>
              <w:jc w:val="left"/>
            </w:pPr>
            <w:r>
              <w:t>Shane Rosenthal, Georgia Resident Mission, (GRM), CWRD</w:t>
            </w:r>
          </w:p>
        </w:tc>
      </w:tr>
      <w:tr w:rsidR="00582643" w:rsidRPr="00BD4E7D" w14:paraId="1DD56487" w14:textId="77777777" w:rsidTr="00A42AC7">
        <w:trPr>
          <w:jc w:val="center"/>
        </w:trPr>
        <w:tc>
          <w:tcPr>
            <w:tcW w:w="2488" w:type="dxa"/>
            <w:tcBorders>
              <w:top w:val="nil"/>
              <w:bottom w:val="nil"/>
              <w:right w:val="nil"/>
            </w:tcBorders>
          </w:tcPr>
          <w:p w14:paraId="627F4063" w14:textId="77777777" w:rsidR="00582643" w:rsidRPr="00840B7F" w:rsidRDefault="00582643" w:rsidP="00A42AC7">
            <w:pPr>
              <w:keepNext/>
              <w:jc w:val="left"/>
            </w:pPr>
          </w:p>
        </w:tc>
        <w:tc>
          <w:tcPr>
            <w:tcW w:w="6862" w:type="dxa"/>
            <w:tcBorders>
              <w:top w:val="nil"/>
              <w:left w:val="nil"/>
              <w:bottom w:val="nil"/>
            </w:tcBorders>
          </w:tcPr>
          <w:p w14:paraId="46D6144B" w14:textId="77777777" w:rsidR="00582643" w:rsidRPr="0066093A" w:rsidRDefault="00582643" w:rsidP="00A42AC7">
            <w:pPr>
              <w:keepNext/>
              <w:jc w:val="left"/>
            </w:pPr>
          </w:p>
        </w:tc>
      </w:tr>
      <w:tr w:rsidR="00582643" w:rsidRPr="00503569" w14:paraId="5532AC94" w14:textId="77777777" w:rsidTr="00A42AC7">
        <w:trPr>
          <w:jc w:val="center"/>
        </w:trPr>
        <w:tc>
          <w:tcPr>
            <w:tcW w:w="2488" w:type="dxa"/>
            <w:tcBorders>
              <w:top w:val="nil"/>
              <w:bottom w:val="nil"/>
              <w:right w:val="nil"/>
            </w:tcBorders>
          </w:tcPr>
          <w:p w14:paraId="1E7E5C5F" w14:textId="77777777" w:rsidR="00582643" w:rsidRPr="00EE7959" w:rsidRDefault="00582643" w:rsidP="00A42AC7">
            <w:pPr>
              <w:keepNext/>
              <w:jc w:val="left"/>
              <w:rPr>
                <w:color w:val="000000" w:themeColor="text1"/>
              </w:rPr>
            </w:pPr>
            <w:r w:rsidRPr="00EE7959">
              <w:rPr>
                <w:b/>
                <w:color w:val="000000" w:themeColor="text1"/>
              </w:rPr>
              <w:t>Team leader</w:t>
            </w:r>
          </w:p>
        </w:tc>
        <w:tc>
          <w:tcPr>
            <w:tcW w:w="6862" w:type="dxa"/>
            <w:tcBorders>
              <w:top w:val="nil"/>
              <w:left w:val="nil"/>
              <w:bottom w:val="nil"/>
            </w:tcBorders>
          </w:tcPr>
          <w:p w14:paraId="70AA6D5E" w14:textId="77777777" w:rsidR="00582643" w:rsidRPr="0024564D" w:rsidRDefault="00582643" w:rsidP="00A42AC7">
            <w:pPr>
              <w:keepNext/>
              <w:jc w:val="left"/>
              <w:rPr>
                <w:color w:val="000000" w:themeColor="text1"/>
                <w:lang w:val="pt-PT"/>
              </w:rPr>
            </w:pPr>
            <w:r w:rsidRPr="0024564D">
              <w:rPr>
                <w:color w:val="000000" w:themeColor="text1"/>
                <w:lang w:val="pt-PT"/>
              </w:rPr>
              <w:t>Rogerio de Almeida Vieira de Sa, Young Professional, CW</w:t>
            </w:r>
            <w:r>
              <w:rPr>
                <w:color w:val="000000" w:themeColor="text1"/>
                <w:lang w:val="pt-PT"/>
              </w:rPr>
              <w:t>PF, CWRD</w:t>
            </w:r>
          </w:p>
        </w:tc>
      </w:tr>
      <w:tr w:rsidR="00582643" w:rsidRPr="00BD4E7D" w14:paraId="3ADC34A3" w14:textId="77777777" w:rsidTr="00A42AC7">
        <w:trPr>
          <w:jc w:val="center"/>
        </w:trPr>
        <w:tc>
          <w:tcPr>
            <w:tcW w:w="2488" w:type="dxa"/>
            <w:tcBorders>
              <w:top w:val="nil"/>
              <w:bottom w:val="nil"/>
              <w:right w:val="nil"/>
            </w:tcBorders>
          </w:tcPr>
          <w:p w14:paraId="1413864E" w14:textId="77777777" w:rsidR="00582643" w:rsidRPr="00EE7959" w:rsidRDefault="00582643" w:rsidP="00A42AC7">
            <w:pPr>
              <w:keepNext/>
              <w:jc w:val="left"/>
              <w:rPr>
                <w:color w:val="000000" w:themeColor="text1"/>
              </w:rPr>
            </w:pPr>
            <w:r w:rsidRPr="00EE7959">
              <w:rPr>
                <w:b/>
                <w:color w:val="000000" w:themeColor="text1"/>
              </w:rPr>
              <w:t>Team members</w:t>
            </w:r>
          </w:p>
        </w:tc>
        <w:tc>
          <w:tcPr>
            <w:tcW w:w="6862" w:type="dxa"/>
            <w:tcBorders>
              <w:top w:val="nil"/>
              <w:left w:val="nil"/>
              <w:bottom w:val="nil"/>
            </w:tcBorders>
          </w:tcPr>
          <w:p w14:paraId="4C141E53" w14:textId="77777777" w:rsidR="00582643" w:rsidRPr="00EE7959" w:rsidRDefault="00582643" w:rsidP="00A42AC7">
            <w:pPr>
              <w:keepNext/>
              <w:jc w:val="left"/>
              <w:rPr>
                <w:color w:val="000000" w:themeColor="text1"/>
              </w:rPr>
            </w:pPr>
            <w:r w:rsidRPr="7454D1C0">
              <w:rPr>
                <w:color w:val="000000" w:themeColor="text1"/>
              </w:rPr>
              <w:t>Eva Fernandez, Trade Specialist, CW</w:t>
            </w:r>
            <w:r>
              <w:rPr>
                <w:color w:val="000000" w:themeColor="text1"/>
              </w:rPr>
              <w:t>PF, CWRD</w:t>
            </w:r>
          </w:p>
        </w:tc>
      </w:tr>
      <w:tr w:rsidR="00582643" w:rsidRPr="00BD4E7D" w14:paraId="44CE0822" w14:textId="77777777" w:rsidTr="00A42AC7">
        <w:trPr>
          <w:jc w:val="center"/>
        </w:trPr>
        <w:tc>
          <w:tcPr>
            <w:tcW w:w="2488" w:type="dxa"/>
            <w:tcBorders>
              <w:top w:val="nil"/>
              <w:bottom w:val="nil"/>
              <w:right w:val="nil"/>
            </w:tcBorders>
          </w:tcPr>
          <w:p w14:paraId="2CDC2CEE"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15B46687" w14:textId="77777777" w:rsidR="00582643" w:rsidRPr="00B009F8" w:rsidRDefault="00582643" w:rsidP="00A42AC7">
            <w:pPr>
              <w:keepNext/>
              <w:jc w:val="left"/>
              <w:rPr>
                <w:color w:val="000000" w:themeColor="text1"/>
              </w:rPr>
            </w:pPr>
            <w:r>
              <w:rPr>
                <w:color w:val="000000" w:themeColor="text1"/>
              </w:rPr>
              <w:t xml:space="preserve">Gladys Franco, Social Development Officer (Gender), </w:t>
            </w:r>
            <w:r w:rsidRPr="00B9336E">
              <w:rPr>
                <w:color w:val="000000" w:themeColor="text1"/>
              </w:rPr>
              <w:t>Portfolio, Results, Safeguards and Gender Unit, CWRD (CWOD-PSG)</w:t>
            </w:r>
            <w:r>
              <w:rPr>
                <w:color w:val="000000" w:themeColor="text1"/>
              </w:rPr>
              <w:t>, CWRD</w:t>
            </w:r>
          </w:p>
        </w:tc>
      </w:tr>
      <w:tr w:rsidR="00582643" w:rsidRPr="00BD4E7D" w14:paraId="784EA1A0" w14:textId="77777777" w:rsidTr="00A42AC7">
        <w:trPr>
          <w:jc w:val="center"/>
        </w:trPr>
        <w:tc>
          <w:tcPr>
            <w:tcW w:w="2488" w:type="dxa"/>
            <w:tcBorders>
              <w:top w:val="nil"/>
              <w:bottom w:val="nil"/>
              <w:right w:val="nil"/>
            </w:tcBorders>
          </w:tcPr>
          <w:p w14:paraId="2F1AD7F2"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33DB1F5A" w14:textId="77777777" w:rsidR="00582643" w:rsidRPr="00B009F8" w:rsidRDefault="00582643" w:rsidP="00A42AC7">
            <w:pPr>
              <w:keepNext/>
              <w:jc w:val="left"/>
              <w:rPr>
                <w:color w:val="000000" w:themeColor="text1"/>
              </w:rPr>
            </w:pPr>
            <w:r w:rsidRPr="7454D1C0">
              <w:rPr>
                <w:color w:val="000000" w:themeColor="text1"/>
              </w:rPr>
              <w:t xml:space="preserve">George Kiziria, Senior Project Officer (Infrastructure), </w:t>
            </w:r>
            <w:r>
              <w:rPr>
                <w:color w:val="000000" w:themeColor="text1"/>
              </w:rPr>
              <w:t>GRM, CWRD</w:t>
            </w:r>
          </w:p>
        </w:tc>
      </w:tr>
      <w:tr w:rsidR="00582643" w:rsidRPr="00BD4E7D" w14:paraId="73CBD8FD" w14:textId="77777777" w:rsidTr="00A42AC7">
        <w:trPr>
          <w:jc w:val="center"/>
        </w:trPr>
        <w:tc>
          <w:tcPr>
            <w:tcW w:w="2488" w:type="dxa"/>
            <w:tcBorders>
              <w:top w:val="nil"/>
              <w:bottom w:val="nil"/>
              <w:right w:val="nil"/>
            </w:tcBorders>
          </w:tcPr>
          <w:p w14:paraId="7B9B6079"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12D0EAC9" w14:textId="77777777" w:rsidR="00582643" w:rsidRPr="7454D1C0" w:rsidRDefault="00582643" w:rsidP="00A42AC7">
            <w:pPr>
              <w:keepNext/>
              <w:jc w:val="left"/>
              <w:rPr>
                <w:color w:val="000000" w:themeColor="text1"/>
              </w:rPr>
            </w:pPr>
            <w:r w:rsidRPr="7454D1C0">
              <w:rPr>
                <w:color w:val="000000" w:themeColor="text1"/>
              </w:rPr>
              <w:t>George Luarsabish</w:t>
            </w:r>
            <w:r>
              <w:rPr>
                <w:color w:val="000000" w:themeColor="text1"/>
              </w:rPr>
              <w:t>v</w:t>
            </w:r>
            <w:r w:rsidRPr="7454D1C0">
              <w:rPr>
                <w:color w:val="000000" w:themeColor="text1"/>
              </w:rPr>
              <w:t xml:space="preserve">ili, Economics Officer, </w:t>
            </w:r>
            <w:r>
              <w:rPr>
                <w:color w:val="000000" w:themeColor="text1"/>
              </w:rPr>
              <w:t>GRM, CWRD</w:t>
            </w:r>
          </w:p>
        </w:tc>
      </w:tr>
      <w:tr w:rsidR="00582643" w:rsidRPr="00BD4E7D" w14:paraId="35C12610" w14:textId="77777777" w:rsidTr="00A42AC7">
        <w:trPr>
          <w:jc w:val="center"/>
        </w:trPr>
        <w:tc>
          <w:tcPr>
            <w:tcW w:w="2488" w:type="dxa"/>
            <w:tcBorders>
              <w:top w:val="nil"/>
              <w:bottom w:val="nil"/>
              <w:right w:val="nil"/>
            </w:tcBorders>
          </w:tcPr>
          <w:p w14:paraId="6E50560C"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1B01F92E" w14:textId="77777777" w:rsidR="00582643" w:rsidRPr="7454D1C0" w:rsidRDefault="00582643" w:rsidP="00A42AC7">
            <w:pPr>
              <w:keepNext/>
              <w:jc w:val="left"/>
              <w:rPr>
                <w:color w:val="000000" w:themeColor="text1"/>
              </w:rPr>
            </w:pPr>
            <w:r>
              <w:rPr>
                <w:color w:val="000000" w:themeColor="text1"/>
              </w:rPr>
              <w:t>Elinor Piano, Project Analyst, CWPF, CWRD</w:t>
            </w:r>
          </w:p>
        </w:tc>
      </w:tr>
      <w:tr w:rsidR="00582643" w:rsidRPr="00BD4E7D" w14:paraId="1AC800DC" w14:textId="77777777" w:rsidTr="00A42AC7">
        <w:trPr>
          <w:jc w:val="center"/>
        </w:trPr>
        <w:tc>
          <w:tcPr>
            <w:tcW w:w="2488" w:type="dxa"/>
            <w:tcBorders>
              <w:top w:val="nil"/>
              <w:bottom w:val="nil"/>
              <w:right w:val="nil"/>
            </w:tcBorders>
          </w:tcPr>
          <w:p w14:paraId="4DDE112C"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5B45AB43" w14:textId="77777777" w:rsidR="00582643" w:rsidRDefault="00582643" w:rsidP="00A42AC7">
            <w:pPr>
              <w:keepNext/>
              <w:jc w:val="left"/>
              <w:rPr>
                <w:color w:val="000000" w:themeColor="text1"/>
              </w:rPr>
            </w:pPr>
            <w:r>
              <w:rPr>
                <w:color w:val="000000" w:themeColor="text1"/>
              </w:rPr>
              <w:t xml:space="preserve">Oksana Nazmieva, </w:t>
            </w:r>
            <w:r w:rsidRPr="00F55403">
              <w:rPr>
                <w:color w:val="000000" w:themeColor="text1"/>
              </w:rPr>
              <w:t>Principal Financial Management Specialist</w:t>
            </w:r>
            <w:r>
              <w:rPr>
                <w:color w:val="000000" w:themeColor="text1"/>
              </w:rPr>
              <w:t>, CWOD-PSG, CWRD</w:t>
            </w:r>
          </w:p>
        </w:tc>
      </w:tr>
      <w:tr w:rsidR="00582643" w:rsidRPr="00BD4E7D" w14:paraId="762C54E3" w14:textId="77777777" w:rsidTr="00A42AC7">
        <w:trPr>
          <w:trHeight w:hRule="exact" w:val="513"/>
          <w:jc w:val="center"/>
        </w:trPr>
        <w:tc>
          <w:tcPr>
            <w:tcW w:w="2488" w:type="dxa"/>
            <w:tcBorders>
              <w:top w:val="nil"/>
              <w:bottom w:val="nil"/>
              <w:right w:val="nil"/>
            </w:tcBorders>
          </w:tcPr>
          <w:p w14:paraId="05D5B165"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72032F61" w14:textId="4AAC729D" w:rsidR="00582643" w:rsidRDefault="00D27D46" w:rsidP="00A42AC7">
            <w:pPr>
              <w:keepNext/>
              <w:jc w:val="left"/>
              <w:rPr>
                <w:color w:val="000000" w:themeColor="text1"/>
              </w:rPr>
            </w:pPr>
            <w:r w:rsidRPr="00C55CC6">
              <w:rPr>
                <w:color w:val="000000" w:themeColor="text1"/>
              </w:rPr>
              <w:t>Kaukab Hassan Naqvi,</w:t>
            </w:r>
            <w:r>
              <w:rPr>
                <w:color w:val="000000" w:themeColor="text1"/>
              </w:rPr>
              <w:t xml:space="preserve"> Senior Economist, </w:t>
            </w:r>
            <w:r w:rsidRPr="00756A72">
              <w:rPr>
                <w:color w:val="000000" w:themeColor="text1"/>
              </w:rPr>
              <w:t>Economic Research and Regional Cooperation Department</w:t>
            </w:r>
            <w:r>
              <w:rPr>
                <w:color w:val="000000" w:themeColor="text1"/>
              </w:rPr>
              <w:t xml:space="preserve"> </w:t>
            </w:r>
            <w:r w:rsidR="00582643">
              <w:rPr>
                <w:color w:val="000000" w:themeColor="text1"/>
              </w:rPr>
              <w:t xml:space="preserve">Kirthi Ramesh, </w:t>
            </w:r>
            <w:r w:rsidR="00582643" w:rsidRPr="00062DFC">
              <w:rPr>
                <w:color w:val="000000" w:themeColor="text1"/>
              </w:rPr>
              <w:t>Social Sector Specialist</w:t>
            </w:r>
            <w:r w:rsidR="00582643">
              <w:rPr>
                <w:color w:val="000000" w:themeColor="text1"/>
              </w:rPr>
              <w:t xml:space="preserve">, </w:t>
            </w:r>
            <w:r w:rsidR="00582643" w:rsidRPr="00810656">
              <w:rPr>
                <w:color w:val="000000" w:themeColor="text1"/>
              </w:rPr>
              <w:t xml:space="preserve">Social Sector Division, </w:t>
            </w:r>
          </w:p>
          <w:p w14:paraId="7F3D8536" w14:textId="77777777" w:rsidR="00582643" w:rsidRDefault="00582643" w:rsidP="00A42AC7">
            <w:pPr>
              <w:keepNext/>
              <w:jc w:val="left"/>
              <w:rPr>
                <w:color w:val="000000" w:themeColor="text1"/>
              </w:rPr>
            </w:pPr>
            <w:r>
              <w:rPr>
                <w:color w:val="000000" w:themeColor="text1"/>
              </w:rPr>
              <w:t>CWRD</w:t>
            </w:r>
          </w:p>
        </w:tc>
      </w:tr>
      <w:tr w:rsidR="00582643" w:rsidRPr="00BD4E7D" w14:paraId="15034B88" w14:textId="77777777" w:rsidTr="00A42AC7">
        <w:trPr>
          <w:jc w:val="center"/>
        </w:trPr>
        <w:tc>
          <w:tcPr>
            <w:tcW w:w="2488" w:type="dxa"/>
            <w:tcBorders>
              <w:top w:val="nil"/>
              <w:bottom w:val="nil"/>
              <w:right w:val="nil"/>
            </w:tcBorders>
          </w:tcPr>
          <w:p w14:paraId="1DC17470"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219CBCCA" w14:textId="77777777" w:rsidR="00582643" w:rsidRPr="00B009F8" w:rsidRDefault="00582643" w:rsidP="00A42AC7">
            <w:pPr>
              <w:keepNext/>
              <w:jc w:val="left"/>
              <w:rPr>
                <w:color w:val="000000" w:themeColor="text1"/>
              </w:rPr>
            </w:pPr>
            <w:r w:rsidRPr="7454D1C0">
              <w:rPr>
                <w:color w:val="000000" w:themeColor="text1"/>
              </w:rPr>
              <w:t xml:space="preserve">Kristian Rosbach, Economist, </w:t>
            </w:r>
            <w:r w:rsidRPr="00FC3769">
              <w:rPr>
                <w:color w:val="000000" w:themeColor="text1"/>
              </w:rPr>
              <w:t>Regional Cooperation and Operations Coordination Div</w:t>
            </w:r>
            <w:r>
              <w:rPr>
                <w:color w:val="000000" w:themeColor="text1"/>
              </w:rPr>
              <w:t>ision</w:t>
            </w:r>
            <w:r w:rsidRPr="00FC3769">
              <w:rPr>
                <w:color w:val="000000" w:themeColor="text1"/>
              </w:rPr>
              <w:t>, CWRD</w:t>
            </w:r>
          </w:p>
        </w:tc>
      </w:tr>
      <w:tr w:rsidR="00582643" w:rsidRPr="00BD4E7D" w14:paraId="03E555F2" w14:textId="77777777" w:rsidTr="00A42AC7">
        <w:trPr>
          <w:jc w:val="center"/>
        </w:trPr>
        <w:tc>
          <w:tcPr>
            <w:tcW w:w="2488" w:type="dxa"/>
            <w:tcBorders>
              <w:top w:val="nil"/>
              <w:bottom w:val="nil"/>
              <w:right w:val="nil"/>
            </w:tcBorders>
          </w:tcPr>
          <w:p w14:paraId="3A755216" w14:textId="77777777" w:rsidR="00582643" w:rsidRPr="00EE7959" w:rsidRDefault="00582643" w:rsidP="00A42AC7">
            <w:pPr>
              <w:keepNext/>
              <w:jc w:val="left"/>
              <w:rPr>
                <w:color w:val="000000" w:themeColor="text1"/>
              </w:rPr>
            </w:pPr>
          </w:p>
        </w:tc>
        <w:tc>
          <w:tcPr>
            <w:tcW w:w="6862" w:type="dxa"/>
            <w:tcBorders>
              <w:top w:val="nil"/>
              <w:left w:val="nil"/>
              <w:bottom w:val="nil"/>
            </w:tcBorders>
          </w:tcPr>
          <w:p w14:paraId="41DAD9E1" w14:textId="77777777" w:rsidR="00582643" w:rsidRPr="00EE7959" w:rsidRDefault="00582643" w:rsidP="00A42AC7">
            <w:pPr>
              <w:keepNext/>
              <w:jc w:val="left"/>
              <w:rPr>
                <w:color w:val="000000" w:themeColor="text1"/>
              </w:rPr>
            </w:pPr>
            <w:r w:rsidRPr="7454D1C0">
              <w:rPr>
                <w:rFonts w:cs="Arial"/>
                <w:color w:val="000000" w:themeColor="text1"/>
              </w:rPr>
              <w:t xml:space="preserve">Anna Liza Silverio, </w:t>
            </w:r>
            <w:r>
              <w:rPr>
                <w:rFonts w:cs="Arial"/>
                <w:color w:val="000000" w:themeColor="text1"/>
              </w:rPr>
              <w:t>Associate Project Analyst, Transport and Communications Division, CWRD</w:t>
            </w:r>
          </w:p>
        </w:tc>
      </w:tr>
      <w:tr w:rsidR="00582643" w:rsidRPr="00BD4E7D" w14:paraId="419A4F7A" w14:textId="77777777" w:rsidTr="00A42AC7">
        <w:trPr>
          <w:jc w:val="center"/>
        </w:trPr>
        <w:tc>
          <w:tcPr>
            <w:tcW w:w="2488" w:type="dxa"/>
            <w:tcBorders>
              <w:top w:val="nil"/>
              <w:bottom w:val="nil"/>
              <w:right w:val="nil"/>
            </w:tcBorders>
          </w:tcPr>
          <w:p w14:paraId="101EEA27" w14:textId="77777777" w:rsidR="00582643" w:rsidRPr="00EE7959" w:rsidRDefault="00582643" w:rsidP="00A42AC7">
            <w:pPr>
              <w:keepNext/>
              <w:jc w:val="left"/>
              <w:rPr>
                <w:color w:val="000000" w:themeColor="text1"/>
              </w:rPr>
            </w:pPr>
          </w:p>
        </w:tc>
        <w:tc>
          <w:tcPr>
            <w:tcW w:w="6862" w:type="dxa"/>
            <w:tcBorders>
              <w:top w:val="nil"/>
              <w:left w:val="nil"/>
              <w:bottom w:val="nil"/>
            </w:tcBorders>
          </w:tcPr>
          <w:p w14:paraId="0D09875A" w14:textId="77777777" w:rsidR="00582643" w:rsidRPr="00EE7959" w:rsidRDefault="00582643" w:rsidP="00A42AC7">
            <w:pPr>
              <w:keepNext/>
              <w:jc w:val="left"/>
              <w:rPr>
                <w:color w:val="000000" w:themeColor="text1"/>
              </w:rPr>
            </w:pPr>
            <w:r w:rsidRPr="00160E6D">
              <w:rPr>
                <w:color w:val="000000" w:themeColor="text1"/>
              </w:rPr>
              <w:t>Mariane Sual, Senior Operations Assistant, CW</w:t>
            </w:r>
            <w:r>
              <w:rPr>
                <w:color w:val="000000" w:themeColor="text1"/>
              </w:rPr>
              <w:t>PF, CWRD</w:t>
            </w:r>
          </w:p>
        </w:tc>
      </w:tr>
      <w:tr w:rsidR="00582643" w:rsidRPr="00BD4E7D" w14:paraId="6F77AA68" w14:textId="77777777" w:rsidTr="00A42AC7">
        <w:trPr>
          <w:jc w:val="center"/>
        </w:trPr>
        <w:tc>
          <w:tcPr>
            <w:tcW w:w="2488" w:type="dxa"/>
            <w:tcBorders>
              <w:top w:val="nil"/>
              <w:bottom w:val="nil"/>
              <w:right w:val="nil"/>
            </w:tcBorders>
          </w:tcPr>
          <w:p w14:paraId="57E7D59C" w14:textId="77777777" w:rsidR="00582643" w:rsidRPr="00840B7F" w:rsidRDefault="00582643" w:rsidP="00A42AC7">
            <w:pPr>
              <w:keepNext/>
              <w:jc w:val="left"/>
            </w:pPr>
          </w:p>
        </w:tc>
        <w:tc>
          <w:tcPr>
            <w:tcW w:w="6862" w:type="dxa"/>
            <w:tcBorders>
              <w:top w:val="nil"/>
              <w:left w:val="nil"/>
              <w:bottom w:val="nil"/>
            </w:tcBorders>
          </w:tcPr>
          <w:p w14:paraId="73FA96CA" w14:textId="77777777" w:rsidR="00582643" w:rsidRPr="00EA57DD" w:rsidRDefault="00582643" w:rsidP="00A42AC7">
            <w:pPr>
              <w:keepNext/>
              <w:jc w:val="left"/>
              <w:rPr>
                <w:color w:val="000000" w:themeColor="text1"/>
              </w:rPr>
            </w:pPr>
            <w:r w:rsidRPr="7454D1C0">
              <w:rPr>
                <w:color w:val="000000" w:themeColor="text1"/>
              </w:rPr>
              <w:t xml:space="preserve">Tamar Tsiklauri, Project Analyst, </w:t>
            </w:r>
            <w:r>
              <w:rPr>
                <w:color w:val="000000" w:themeColor="text1"/>
              </w:rPr>
              <w:t>GRM, CWRD</w:t>
            </w:r>
          </w:p>
        </w:tc>
      </w:tr>
      <w:tr w:rsidR="00582643" w:rsidRPr="00BD4E7D" w14:paraId="6B134329" w14:textId="77777777" w:rsidTr="00A42AC7">
        <w:trPr>
          <w:jc w:val="center"/>
        </w:trPr>
        <w:tc>
          <w:tcPr>
            <w:tcW w:w="2488" w:type="dxa"/>
            <w:tcBorders>
              <w:top w:val="nil"/>
              <w:bottom w:val="nil"/>
              <w:right w:val="nil"/>
            </w:tcBorders>
          </w:tcPr>
          <w:p w14:paraId="5CD14EB1" w14:textId="77777777" w:rsidR="00582643" w:rsidRPr="00840B7F" w:rsidRDefault="00582643" w:rsidP="00A42AC7">
            <w:pPr>
              <w:keepNext/>
              <w:jc w:val="left"/>
            </w:pPr>
          </w:p>
        </w:tc>
        <w:tc>
          <w:tcPr>
            <w:tcW w:w="6862" w:type="dxa"/>
            <w:tcBorders>
              <w:top w:val="nil"/>
              <w:left w:val="nil"/>
              <w:bottom w:val="nil"/>
            </w:tcBorders>
          </w:tcPr>
          <w:p w14:paraId="64C4C054" w14:textId="77777777" w:rsidR="00582643" w:rsidRPr="7454D1C0" w:rsidRDefault="00582643" w:rsidP="00A42AC7">
            <w:pPr>
              <w:keepNext/>
              <w:jc w:val="left"/>
              <w:rPr>
                <w:color w:val="000000" w:themeColor="text1"/>
              </w:rPr>
            </w:pPr>
            <w:r w:rsidRPr="009A246A">
              <w:rPr>
                <w:color w:val="000000" w:themeColor="text1"/>
              </w:rPr>
              <w:t>Michiel Van der Auwera,</w:t>
            </w:r>
            <w:r>
              <w:rPr>
                <w:color w:val="000000" w:themeColor="text1"/>
              </w:rPr>
              <w:t xml:space="preserve"> </w:t>
            </w:r>
            <w:r w:rsidRPr="006F53FA">
              <w:rPr>
                <w:color w:val="000000" w:themeColor="text1"/>
              </w:rPr>
              <w:t>Senior Financial Sector Specialist (Social Security)</w:t>
            </w:r>
            <w:r>
              <w:rPr>
                <w:color w:val="000000" w:themeColor="text1"/>
              </w:rPr>
              <w:t>, CWRD</w:t>
            </w:r>
          </w:p>
        </w:tc>
      </w:tr>
      <w:tr w:rsidR="00582643" w:rsidRPr="00BD4E7D" w14:paraId="462AC824" w14:textId="77777777" w:rsidTr="00A42AC7">
        <w:trPr>
          <w:jc w:val="center"/>
        </w:trPr>
        <w:tc>
          <w:tcPr>
            <w:tcW w:w="2488" w:type="dxa"/>
            <w:tcBorders>
              <w:top w:val="nil"/>
              <w:bottom w:val="nil"/>
              <w:right w:val="nil"/>
            </w:tcBorders>
          </w:tcPr>
          <w:p w14:paraId="5D046445" w14:textId="77777777" w:rsidR="00582643" w:rsidRPr="00840B7F" w:rsidRDefault="00582643" w:rsidP="00A42AC7">
            <w:pPr>
              <w:keepNext/>
              <w:jc w:val="left"/>
            </w:pPr>
            <w:r w:rsidRPr="00C232B4">
              <w:rPr>
                <w:rFonts w:cs="Arial"/>
              </w:rPr>
              <w:t xml:space="preserve">One ADB </w:t>
            </w:r>
            <w:r>
              <w:rPr>
                <w:rFonts w:cs="Arial"/>
              </w:rPr>
              <w:t>t</w:t>
            </w:r>
            <w:r w:rsidRPr="00C232B4">
              <w:rPr>
                <w:rFonts w:cs="Arial"/>
              </w:rPr>
              <w:t>eam</w:t>
            </w:r>
            <w:r>
              <w:rPr>
                <w:rFonts w:cs="Arial"/>
              </w:rPr>
              <w:t>*</w:t>
            </w:r>
          </w:p>
        </w:tc>
        <w:tc>
          <w:tcPr>
            <w:tcW w:w="6862" w:type="dxa"/>
            <w:tcBorders>
              <w:top w:val="nil"/>
              <w:left w:val="nil"/>
              <w:bottom w:val="nil"/>
            </w:tcBorders>
          </w:tcPr>
          <w:p w14:paraId="0C8785F5" w14:textId="77777777" w:rsidR="00582643" w:rsidRPr="009A246A" w:rsidRDefault="00582643" w:rsidP="00A42AC7">
            <w:pPr>
              <w:keepNext/>
              <w:jc w:val="left"/>
              <w:rPr>
                <w:color w:val="000000" w:themeColor="text1"/>
              </w:rPr>
            </w:pPr>
            <w:r w:rsidRPr="7454D1C0">
              <w:rPr>
                <w:color w:val="000000" w:themeColor="text1"/>
              </w:rPr>
              <w:t xml:space="preserve">Shinsuke Kawazu, Principal Counsel, </w:t>
            </w:r>
            <w:r w:rsidRPr="7454D1C0">
              <w:rPr>
                <w:rFonts w:cs="Arial"/>
                <w:color w:val="000000" w:themeColor="text1"/>
              </w:rPr>
              <w:t>Office of the General Counsel</w:t>
            </w:r>
          </w:p>
        </w:tc>
      </w:tr>
      <w:tr w:rsidR="00582643" w:rsidRPr="00BD4E7D" w14:paraId="0F3CEF6C" w14:textId="77777777" w:rsidTr="00A42AC7">
        <w:trPr>
          <w:jc w:val="center"/>
        </w:trPr>
        <w:tc>
          <w:tcPr>
            <w:tcW w:w="2488" w:type="dxa"/>
            <w:tcBorders>
              <w:top w:val="nil"/>
              <w:bottom w:val="nil"/>
              <w:right w:val="nil"/>
            </w:tcBorders>
          </w:tcPr>
          <w:p w14:paraId="724CF97F"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0E0C76F9" w14:textId="77777777" w:rsidR="00582643" w:rsidRDefault="00582643" w:rsidP="00A42AC7">
            <w:pPr>
              <w:keepNext/>
              <w:jc w:val="left"/>
              <w:rPr>
                <w:color w:val="000000" w:themeColor="text1"/>
              </w:rPr>
            </w:pPr>
            <w:r w:rsidRPr="00B63B90">
              <w:rPr>
                <w:color w:val="000000" w:themeColor="text1"/>
              </w:rPr>
              <w:t>Akmal Narta</w:t>
            </w:r>
            <w:r>
              <w:rPr>
                <w:color w:val="000000" w:themeColor="text1"/>
              </w:rPr>
              <w:t>yev</w:t>
            </w:r>
            <w:r w:rsidRPr="00B63B90">
              <w:rPr>
                <w:color w:val="000000" w:themeColor="text1"/>
              </w:rPr>
              <w:t>, S</w:t>
            </w:r>
            <w:r>
              <w:rPr>
                <w:color w:val="000000" w:themeColor="text1"/>
              </w:rPr>
              <w:t xml:space="preserve">enior </w:t>
            </w:r>
            <w:r w:rsidRPr="00B63B90">
              <w:rPr>
                <w:color w:val="000000" w:themeColor="text1"/>
              </w:rPr>
              <w:t xml:space="preserve">Financial Management Specialist, </w:t>
            </w:r>
            <w:r w:rsidRPr="00995290">
              <w:rPr>
                <w:color w:val="000000" w:themeColor="text1"/>
              </w:rPr>
              <w:t>Procurement, Portfolio and Financial Management Department</w:t>
            </w:r>
            <w:r>
              <w:rPr>
                <w:color w:val="000000" w:themeColor="text1"/>
              </w:rPr>
              <w:t xml:space="preserve">, </w:t>
            </w:r>
            <w:r w:rsidRPr="00E4531C">
              <w:rPr>
                <w:color w:val="000000" w:themeColor="text1"/>
              </w:rPr>
              <w:t>Public Financial Management Division</w:t>
            </w:r>
          </w:p>
        </w:tc>
      </w:tr>
      <w:tr w:rsidR="00582643" w:rsidRPr="00BD4E7D" w14:paraId="001C4443" w14:textId="77777777" w:rsidTr="00A42AC7">
        <w:trPr>
          <w:jc w:val="center"/>
        </w:trPr>
        <w:tc>
          <w:tcPr>
            <w:tcW w:w="2488" w:type="dxa"/>
            <w:tcBorders>
              <w:top w:val="nil"/>
              <w:bottom w:val="nil"/>
              <w:right w:val="nil"/>
            </w:tcBorders>
          </w:tcPr>
          <w:p w14:paraId="56675A3D" w14:textId="77777777" w:rsidR="00582643" w:rsidRPr="00EE7959" w:rsidRDefault="00582643" w:rsidP="00A42AC7">
            <w:pPr>
              <w:keepNext/>
              <w:jc w:val="left"/>
              <w:rPr>
                <w:b/>
                <w:color w:val="000000" w:themeColor="text1"/>
              </w:rPr>
            </w:pPr>
          </w:p>
        </w:tc>
        <w:tc>
          <w:tcPr>
            <w:tcW w:w="6862" w:type="dxa"/>
            <w:tcBorders>
              <w:top w:val="nil"/>
              <w:left w:val="nil"/>
              <w:bottom w:val="nil"/>
            </w:tcBorders>
          </w:tcPr>
          <w:p w14:paraId="55FDAE80" w14:textId="77777777" w:rsidR="00582643" w:rsidRDefault="00582643" w:rsidP="00A42AC7">
            <w:pPr>
              <w:jc w:val="left"/>
              <w:rPr>
                <w:color w:val="000000" w:themeColor="text1"/>
              </w:rPr>
            </w:pPr>
            <w:r>
              <w:rPr>
                <w:color w:val="000000" w:themeColor="text1"/>
              </w:rPr>
              <w:t>David</w:t>
            </w:r>
            <w:r w:rsidRPr="10E54777">
              <w:rPr>
                <w:rFonts w:cs="Arial"/>
                <w:color w:val="000000" w:themeColor="text1"/>
              </w:rPr>
              <w:t xml:space="preserve"> Aaron</w:t>
            </w:r>
            <w:r>
              <w:rPr>
                <w:color w:val="000000" w:themeColor="text1"/>
              </w:rPr>
              <w:t xml:space="preserve"> Robinett, </w:t>
            </w:r>
            <w:r w:rsidRPr="00B9063B">
              <w:rPr>
                <w:color w:val="000000" w:themeColor="text1"/>
              </w:rPr>
              <w:t>Senior Public Management Specialist (State Owned Enterprise Reforms)</w:t>
            </w:r>
            <w:r>
              <w:rPr>
                <w:color w:val="000000" w:themeColor="text1"/>
              </w:rPr>
              <w:t xml:space="preserve">, </w:t>
            </w:r>
            <w:r w:rsidRPr="007B06E4">
              <w:rPr>
                <w:rFonts w:cs="Arial"/>
                <w:color w:val="000000" w:themeColor="text1"/>
              </w:rPr>
              <w:t>Sustainable Development and Climate Change Department</w:t>
            </w:r>
            <w:r>
              <w:rPr>
                <w:rFonts w:cs="Arial"/>
                <w:color w:val="000000" w:themeColor="text1"/>
              </w:rPr>
              <w:t xml:space="preserve"> </w:t>
            </w:r>
          </w:p>
        </w:tc>
      </w:tr>
      <w:tr w:rsidR="00582643" w:rsidRPr="00BD4E7D" w14:paraId="61B039B4" w14:textId="77777777" w:rsidTr="00A42AC7">
        <w:trPr>
          <w:jc w:val="center"/>
        </w:trPr>
        <w:tc>
          <w:tcPr>
            <w:tcW w:w="2488" w:type="dxa"/>
            <w:tcBorders>
              <w:top w:val="nil"/>
              <w:bottom w:val="nil"/>
              <w:right w:val="nil"/>
            </w:tcBorders>
          </w:tcPr>
          <w:p w14:paraId="5773770F" w14:textId="77777777" w:rsidR="00582643" w:rsidRPr="00EE7959" w:rsidRDefault="00582643" w:rsidP="00A42AC7">
            <w:pPr>
              <w:keepNext/>
              <w:jc w:val="left"/>
              <w:rPr>
                <w:color w:val="000000" w:themeColor="text1"/>
              </w:rPr>
            </w:pPr>
          </w:p>
        </w:tc>
        <w:tc>
          <w:tcPr>
            <w:tcW w:w="6862" w:type="dxa"/>
            <w:tcBorders>
              <w:top w:val="nil"/>
              <w:left w:val="nil"/>
              <w:bottom w:val="nil"/>
            </w:tcBorders>
          </w:tcPr>
          <w:p w14:paraId="03AB678D" w14:textId="77777777" w:rsidR="00582643" w:rsidRPr="00160E6D" w:rsidRDefault="00582643" w:rsidP="00A42AC7">
            <w:pPr>
              <w:keepNext/>
              <w:jc w:val="left"/>
              <w:rPr>
                <w:color w:val="000000" w:themeColor="text1"/>
              </w:rPr>
            </w:pPr>
            <w:r>
              <w:rPr>
                <w:color w:val="000000" w:themeColor="text1"/>
              </w:rPr>
              <w:t xml:space="preserve">Agnes Surry, </w:t>
            </w:r>
            <w:r w:rsidRPr="00B27797">
              <w:rPr>
                <w:color w:val="000000" w:themeColor="text1"/>
              </w:rPr>
              <w:t>Senior Planning and Policy Specialist</w:t>
            </w:r>
            <w:r>
              <w:rPr>
                <w:color w:val="000000" w:themeColor="text1"/>
              </w:rPr>
              <w:t xml:space="preserve">, </w:t>
            </w:r>
            <w:r w:rsidRPr="00EA0C30">
              <w:rPr>
                <w:color w:val="000000" w:themeColor="text1"/>
              </w:rPr>
              <w:t>Strategy, Policy and Partnerships Department</w:t>
            </w:r>
          </w:p>
        </w:tc>
      </w:tr>
      <w:tr w:rsidR="00582643" w:rsidRPr="00BD4E7D" w14:paraId="2F4DA45F" w14:textId="77777777" w:rsidTr="00A42AC7">
        <w:trPr>
          <w:trHeight w:val="57"/>
          <w:jc w:val="center"/>
        </w:trPr>
        <w:tc>
          <w:tcPr>
            <w:tcW w:w="2488" w:type="dxa"/>
            <w:tcBorders>
              <w:top w:val="nil"/>
              <w:right w:val="nil"/>
            </w:tcBorders>
          </w:tcPr>
          <w:p w14:paraId="50760750" w14:textId="77777777" w:rsidR="00582643" w:rsidRPr="00840B7F" w:rsidRDefault="00582643" w:rsidP="00A42AC7">
            <w:pPr>
              <w:jc w:val="left"/>
            </w:pPr>
          </w:p>
        </w:tc>
        <w:tc>
          <w:tcPr>
            <w:tcW w:w="6862" w:type="dxa"/>
            <w:tcBorders>
              <w:top w:val="nil"/>
              <w:left w:val="nil"/>
            </w:tcBorders>
          </w:tcPr>
          <w:p w14:paraId="5B037934" w14:textId="77777777" w:rsidR="00582643" w:rsidRPr="00840B7F" w:rsidRDefault="00582643" w:rsidP="00A42AC7">
            <w:pPr>
              <w:jc w:val="left"/>
            </w:pPr>
          </w:p>
        </w:tc>
      </w:tr>
    </w:tbl>
    <w:p w14:paraId="50A79A3E" w14:textId="77777777" w:rsidR="00582643" w:rsidRPr="00F951FD" w:rsidRDefault="00582643" w:rsidP="00582643">
      <w:pPr>
        <w:rPr>
          <w:rFonts w:cs="Arial"/>
          <w:sz w:val="18"/>
          <w:szCs w:val="18"/>
        </w:rPr>
      </w:pPr>
      <w:r w:rsidRPr="00F951FD">
        <w:rPr>
          <w:rFonts w:cs="Arial"/>
          <w:sz w:val="18"/>
          <w:szCs w:val="18"/>
        </w:rPr>
        <w:t>*</w:t>
      </w:r>
      <w:r w:rsidRPr="00F951FD">
        <w:rPr>
          <w:sz w:val="18"/>
          <w:szCs w:val="18"/>
        </w:rPr>
        <w:t xml:space="preserve"> </w:t>
      </w:r>
      <w:r w:rsidRPr="00F951FD">
        <w:rPr>
          <w:rFonts w:cs="Arial"/>
          <w:sz w:val="18"/>
          <w:szCs w:val="18"/>
        </w:rPr>
        <w:t>Interdepartmental advisory team</w:t>
      </w:r>
    </w:p>
    <w:p w14:paraId="48D50C2C" w14:textId="77777777" w:rsidR="00582643" w:rsidRDefault="00582643" w:rsidP="00582643"/>
    <w:p w14:paraId="027F6BC5" w14:textId="3040D10C" w:rsidR="00E11A1E" w:rsidRDefault="00E11A1E">
      <w:pPr>
        <w:rPr>
          <w:rFonts w:cs="Arial"/>
        </w:rPr>
      </w:pPr>
    </w:p>
    <w:p w14:paraId="19A33E28" w14:textId="4EE97820" w:rsidR="00E11A1E" w:rsidRPr="00180613" w:rsidRDefault="00E11A1E" w:rsidP="00F93BBA">
      <w:pPr>
        <w:rPr>
          <w:rFonts w:cs="Arial"/>
        </w:rPr>
      </w:pPr>
    </w:p>
    <w:p w14:paraId="49AC2A9B" w14:textId="19C1E169" w:rsidR="001156C6" w:rsidRPr="00455445" w:rsidRDefault="001156C6" w:rsidP="00F93BBA">
      <w:pPr>
        <w:rPr>
          <w:color w:val="000000"/>
        </w:rPr>
      </w:pPr>
      <w:r>
        <w:t>In preparing any country program or strategy, financing any project, or by making any designation of or reference to a particular territory or geographic area in this document, the Asian Development Bank does not intend to make any judgments as to the legal or other status of any territory or area.</w:t>
      </w:r>
    </w:p>
    <w:p w14:paraId="411028AA" w14:textId="77777777" w:rsidR="001156C6" w:rsidRDefault="001156C6" w:rsidP="00F93BBA">
      <w:pPr>
        <w:pStyle w:val="Footer"/>
        <w:rPr>
          <w:color w:val="000000"/>
        </w:rPr>
      </w:pPr>
    </w:p>
    <w:p w14:paraId="6CEB62A9" w14:textId="290FBD9C" w:rsidR="0045412B" w:rsidRPr="00433462" w:rsidRDefault="0045412B" w:rsidP="00433462">
      <w:pPr>
        <w:sectPr w:rsidR="0045412B" w:rsidRPr="00433462" w:rsidSect="00342CFF">
          <w:headerReference w:type="default" r:id="rId13"/>
          <w:footerReference w:type="default" r:id="rId14"/>
          <w:footnotePr>
            <w:numRestart w:val="eachSect"/>
          </w:footnotePr>
          <w:endnotePr>
            <w:numRestart w:val="eachSect"/>
          </w:endnotePr>
          <w:pgSz w:w="12240" w:h="15840"/>
          <w:pgMar w:top="1440" w:right="1440" w:bottom="1440" w:left="1440" w:header="907" w:footer="1296" w:gutter="0"/>
          <w:cols w:space="720"/>
          <w:noEndnote/>
          <w:titlePg/>
        </w:sectPr>
      </w:pPr>
    </w:p>
    <w:p w14:paraId="1D34CBE2" w14:textId="7E81C0D0" w:rsidR="001156C6" w:rsidRPr="00D043F8" w:rsidRDefault="00DA6196" w:rsidP="00D043F8">
      <w:pPr>
        <w:pStyle w:val="FrontMatter"/>
      </w:pPr>
      <w:r w:rsidRPr="00D043F8">
        <w:lastRenderedPageBreak/>
        <w:t>Contents</w:t>
      </w:r>
    </w:p>
    <w:p w14:paraId="4230CC13" w14:textId="77777777" w:rsidR="001156C6" w:rsidRDefault="001156C6" w:rsidP="00A923C6">
      <w:pPr>
        <w:jc w:val="right"/>
        <w:rPr>
          <w:b/>
        </w:rPr>
      </w:pPr>
      <w:r>
        <w:rPr>
          <w:b/>
        </w:rPr>
        <w:t>Page</w:t>
      </w:r>
    </w:p>
    <w:p w14:paraId="6511D63B" w14:textId="513E0523" w:rsidR="001156C6" w:rsidRPr="002551A2" w:rsidRDefault="00D556E3" w:rsidP="00262935">
      <w:pPr>
        <w:tabs>
          <w:tab w:val="right" w:pos="9360"/>
        </w:tabs>
        <w:spacing w:before="120" w:after="60"/>
      </w:pPr>
      <w:r w:rsidRPr="002551A2">
        <w:t>PRO</w:t>
      </w:r>
      <w:r>
        <w:t>GRAM</w:t>
      </w:r>
      <w:r w:rsidRPr="002551A2">
        <w:t xml:space="preserve"> </w:t>
      </w:r>
      <w:r w:rsidR="001156C6" w:rsidRPr="002551A2">
        <w:t>AT A GLANCE</w:t>
      </w:r>
    </w:p>
    <w:p w14:paraId="4B859E7F" w14:textId="2B791047" w:rsidR="00531F9B" w:rsidRDefault="00DA6196">
      <w:pPr>
        <w:pStyle w:val="TOC1"/>
        <w:rPr>
          <w:rFonts w:asciiTheme="minorHAnsi" w:eastAsiaTheme="minorEastAsia" w:hAnsiTheme="minorHAnsi" w:cstheme="minorBidi"/>
          <w:caps w:val="0"/>
        </w:rPr>
      </w:pPr>
      <w:r>
        <w:fldChar w:fldCharType="begin"/>
      </w:r>
      <w:r>
        <w:instrText xml:space="preserve"> TOC \o "2-2" \h \z \t "Heading 1,1,Appendix,3" </w:instrText>
      </w:r>
      <w:r>
        <w:fldChar w:fldCharType="separate"/>
      </w:r>
      <w:hyperlink w:anchor="_Toc39790005" w:history="1">
        <w:r w:rsidR="00531F9B" w:rsidRPr="00F614EA">
          <w:rPr>
            <w:rStyle w:val="Hyperlink"/>
          </w:rPr>
          <w:t>I.</w:t>
        </w:r>
        <w:r w:rsidR="00531F9B">
          <w:rPr>
            <w:rFonts w:asciiTheme="minorHAnsi" w:eastAsiaTheme="minorEastAsia" w:hAnsiTheme="minorHAnsi" w:cstheme="minorBidi"/>
            <w:caps w:val="0"/>
          </w:rPr>
          <w:tab/>
        </w:r>
        <w:r w:rsidR="00531F9B" w:rsidRPr="00F614EA">
          <w:rPr>
            <w:rStyle w:val="Hyperlink"/>
          </w:rPr>
          <w:t>The Proposal</w:t>
        </w:r>
        <w:r w:rsidR="00531F9B">
          <w:rPr>
            <w:webHidden/>
          </w:rPr>
          <w:tab/>
        </w:r>
        <w:r w:rsidR="00531F9B">
          <w:rPr>
            <w:webHidden/>
          </w:rPr>
          <w:fldChar w:fldCharType="begin"/>
        </w:r>
        <w:r w:rsidR="00531F9B">
          <w:rPr>
            <w:webHidden/>
          </w:rPr>
          <w:instrText xml:space="preserve"> PAGEREF _Toc39790005 \h </w:instrText>
        </w:r>
        <w:r w:rsidR="00531F9B">
          <w:rPr>
            <w:webHidden/>
          </w:rPr>
        </w:r>
        <w:r w:rsidR="00531F9B">
          <w:rPr>
            <w:webHidden/>
          </w:rPr>
          <w:fldChar w:fldCharType="separate"/>
        </w:r>
        <w:r w:rsidR="00CF4AE0">
          <w:rPr>
            <w:webHidden/>
          </w:rPr>
          <w:t>1</w:t>
        </w:r>
        <w:r w:rsidR="00531F9B">
          <w:rPr>
            <w:webHidden/>
          </w:rPr>
          <w:fldChar w:fldCharType="end"/>
        </w:r>
      </w:hyperlink>
    </w:p>
    <w:p w14:paraId="601E3C6F" w14:textId="16F16257" w:rsidR="00531F9B" w:rsidRDefault="00CA7367">
      <w:pPr>
        <w:pStyle w:val="TOC1"/>
        <w:rPr>
          <w:rFonts w:asciiTheme="minorHAnsi" w:eastAsiaTheme="minorEastAsia" w:hAnsiTheme="minorHAnsi" w:cstheme="minorBidi"/>
          <w:caps w:val="0"/>
        </w:rPr>
      </w:pPr>
      <w:hyperlink w:anchor="_Toc39790006" w:history="1">
        <w:r w:rsidR="00531F9B" w:rsidRPr="00F614EA">
          <w:rPr>
            <w:rStyle w:val="Hyperlink"/>
          </w:rPr>
          <w:t>II.</w:t>
        </w:r>
        <w:r w:rsidR="00531F9B">
          <w:rPr>
            <w:rFonts w:asciiTheme="minorHAnsi" w:eastAsiaTheme="minorEastAsia" w:hAnsiTheme="minorHAnsi" w:cstheme="minorBidi"/>
            <w:caps w:val="0"/>
          </w:rPr>
          <w:tab/>
        </w:r>
        <w:r w:rsidR="00531F9B" w:rsidRPr="00F614EA">
          <w:rPr>
            <w:rStyle w:val="Hyperlink"/>
          </w:rPr>
          <w:t>Program and Rationale</w:t>
        </w:r>
        <w:r w:rsidR="00531F9B">
          <w:rPr>
            <w:webHidden/>
          </w:rPr>
          <w:tab/>
        </w:r>
        <w:r w:rsidR="00531F9B">
          <w:rPr>
            <w:webHidden/>
          </w:rPr>
          <w:fldChar w:fldCharType="begin"/>
        </w:r>
        <w:r w:rsidR="00531F9B">
          <w:rPr>
            <w:webHidden/>
          </w:rPr>
          <w:instrText xml:space="preserve"> PAGEREF _Toc39790006 \h </w:instrText>
        </w:r>
        <w:r w:rsidR="00531F9B">
          <w:rPr>
            <w:webHidden/>
          </w:rPr>
        </w:r>
        <w:r w:rsidR="00531F9B">
          <w:rPr>
            <w:webHidden/>
          </w:rPr>
          <w:fldChar w:fldCharType="separate"/>
        </w:r>
        <w:r w:rsidR="00CF4AE0">
          <w:rPr>
            <w:webHidden/>
          </w:rPr>
          <w:t>2</w:t>
        </w:r>
        <w:r w:rsidR="00531F9B">
          <w:rPr>
            <w:webHidden/>
          </w:rPr>
          <w:fldChar w:fldCharType="end"/>
        </w:r>
      </w:hyperlink>
    </w:p>
    <w:p w14:paraId="0301676A" w14:textId="780D6BEA" w:rsidR="00531F9B" w:rsidRDefault="00CA7367">
      <w:pPr>
        <w:pStyle w:val="TOC2"/>
        <w:rPr>
          <w:rFonts w:asciiTheme="minorHAnsi" w:eastAsiaTheme="minorEastAsia" w:hAnsiTheme="minorHAnsi" w:cstheme="minorBidi"/>
        </w:rPr>
      </w:pPr>
      <w:hyperlink w:anchor="_Toc39790007" w:history="1">
        <w:r w:rsidR="00531F9B" w:rsidRPr="00F614EA">
          <w:rPr>
            <w:rStyle w:val="Hyperlink"/>
            <w:snapToGrid w:val="0"/>
          </w:rPr>
          <w:t>A.</w:t>
        </w:r>
        <w:r w:rsidR="00531F9B">
          <w:rPr>
            <w:rFonts w:asciiTheme="minorHAnsi" w:eastAsiaTheme="minorEastAsia" w:hAnsiTheme="minorHAnsi" w:cstheme="minorBidi"/>
          </w:rPr>
          <w:tab/>
        </w:r>
        <w:r w:rsidR="00531F9B" w:rsidRPr="00F614EA">
          <w:rPr>
            <w:rStyle w:val="Hyperlink"/>
            <w:snapToGrid w:val="0"/>
          </w:rPr>
          <w:t>Background and Development Constraints</w:t>
        </w:r>
        <w:r w:rsidR="00531F9B">
          <w:rPr>
            <w:webHidden/>
          </w:rPr>
          <w:tab/>
        </w:r>
        <w:r w:rsidR="00531F9B">
          <w:rPr>
            <w:webHidden/>
          </w:rPr>
          <w:fldChar w:fldCharType="begin"/>
        </w:r>
        <w:r w:rsidR="00531F9B">
          <w:rPr>
            <w:webHidden/>
          </w:rPr>
          <w:instrText xml:space="preserve"> PAGEREF _Toc39790007 \h </w:instrText>
        </w:r>
        <w:r w:rsidR="00531F9B">
          <w:rPr>
            <w:webHidden/>
          </w:rPr>
        </w:r>
        <w:r w:rsidR="00531F9B">
          <w:rPr>
            <w:webHidden/>
          </w:rPr>
          <w:fldChar w:fldCharType="separate"/>
        </w:r>
        <w:r w:rsidR="00CF4AE0">
          <w:rPr>
            <w:webHidden/>
          </w:rPr>
          <w:t>2</w:t>
        </w:r>
        <w:r w:rsidR="00531F9B">
          <w:rPr>
            <w:webHidden/>
          </w:rPr>
          <w:fldChar w:fldCharType="end"/>
        </w:r>
      </w:hyperlink>
    </w:p>
    <w:p w14:paraId="67E8EF00" w14:textId="77453041" w:rsidR="00531F9B" w:rsidRDefault="00CA7367">
      <w:pPr>
        <w:pStyle w:val="TOC2"/>
        <w:rPr>
          <w:rFonts w:asciiTheme="minorHAnsi" w:eastAsiaTheme="minorEastAsia" w:hAnsiTheme="minorHAnsi" w:cstheme="minorBidi"/>
        </w:rPr>
      </w:pPr>
      <w:hyperlink w:anchor="_Toc39790008" w:history="1">
        <w:r w:rsidR="00531F9B" w:rsidRPr="00F614EA">
          <w:rPr>
            <w:rStyle w:val="Hyperlink"/>
            <w:lang w:eastAsia="zh-CN"/>
          </w:rPr>
          <w:t>B.</w:t>
        </w:r>
        <w:r w:rsidR="00531F9B">
          <w:rPr>
            <w:rFonts w:asciiTheme="minorHAnsi" w:eastAsiaTheme="minorEastAsia" w:hAnsiTheme="minorHAnsi" w:cstheme="minorBidi"/>
          </w:rPr>
          <w:tab/>
        </w:r>
        <w:r w:rsidR="00531F9B" w:rsidRPr="00F614EA">
          <w:rPr>
            <w:rStyle w:val="Hyperlink"/>
            <w:lang w:eastAsia="zh-CN"/>
          </w:rPr>
          <w:t>Proposed Program and ADB’s Value Addition</w:t>
        </w:r>
        <w:r w:rsidR="00531F9B">
          <w:rPr>
            <w:webHidden/>
          </w:rPr>
          <w:tab/>
        </w:r>
        <w:r w:rsidR="00531F9B">
          <w:rPr>
            <w:webHidden/>
          </w:rPr>
          <w:fldChar w:fldCharType="begin"/>
        </w:r>
        <w:r w:rsidR="00531F9B">
          <w:rPr>
            <w:webHidden/>
          </w:rPr>
          <w:instrText xml:space="preserve"> PAGEREF _Toc39790008 \h </w:instrText>
        </w:r>
        <w:r w:rsidR="00531F9B">
          <w:rPr>
            <w:webHidden/>
          </w:rPr>
        </w:r>
        <w:r w:rsidR="00531F9B">
          <w:rPr>
            <w:webHidden/>
          </w:rPr>
          <w:fldChar w:fldCharType="separate"/>
        </w:r>
        <w:r w:rsidR="00CF4AE0">
          <w:rPr>
            <w:webHidden/>
          </w:rPr>
          <w:t>10</w:t>
        </w:r>
        <w:r w:rsidR="00531F9B">
          <w:rPr>
            <w:webHidden/>
          </w:rPr>
          <w:fldChar w:fldCharType="end"/>
        </w:r>
      </w:hyperlink>
    </w:p>
    <w:p w14:paraId="6E25B442" w14:textId="720449DC" w:rsidR="00531F9B" w:rsidRDefault="00CA7367">
      <w:pPr>
        <w:pStyle w:val="TOC2"/>
        <w:rPr>
          <w:rFonts w:asciiTheme="minorHAnsi" w:eastAsiaTheme="minorEastAsia" w:hAnsiTheme="minorHAnsi" w:cstheme="minorBidi"/>
        </w:rPr>
      </w:pPr>
      <w:hyperlink w:anchor="_Toc39790009" w:history="1">
        <w:r w:rsidR="00531F9B" w:rsidRPr="00F614EA">
          <w:rPr>
            <w:rStyle w:val="Hyperlink"/>
            <w:lang w:eastAsia="zh-CN"/>
          </w:rPr>
          <w:t>C.</w:t>
        </w:r>
        <w:r w:rsidR="00531F9B">
          <w:rPr>
            <w:rFonts w:asciiTheme="minorHAnsi" w:eastAsiaTheme="minorEastAsia" w:hAnsiTheme="minorHAnsi" w:cstheme="minorBidi"/>
          </w:rPr>
          <w:tab/>
        </w:r>
        <w:r w:rsidR="00531F9B" w:rsidRPr="00F614EA">
          <w:rPr>
            <w:rStyle w:val="Hyperlink"/>
            <w:lang w:eastAsia="zh-CN"/>
          </w:rPr>
          <w:t xml:space="preserve">Development Financing Needs, Development Partner Coordination and Debt </w:t>
        </w:r>
        <w:r w:rsidR="00740F08">
          <w:rPr>
            <w:rStyle w:val="Hyperlink"/>
            <w:lang w:eastAsia="zh-CN"/>
          </w:rPr>
          <w:t xml:space="preserve"> </w:t>
        </w:r>
        <w:r w:rsidR="00531F9B" w:rsidRPr="00F614EA">
          <w:rPr>
            <w:rStyle w:val="Hyperlink"/>
            <w:lang w:eastAsia="zh-CN"/>
          </w:rPr>
          <w:t>Sustainability</w:t>
        </w:r>
        <w:r w:rsidR="00531F9B">
          <w:rPr>
            <w:webHidden/>
          </w:rPr>
          <w:tab/>
        </w:r>
        <w:r w:rsidR="00531F9B">
          <w:rPr>
            <w:webHidden/>
          </w:rPr>
          <w:fldChar w:fldCharType="begin"/>
        </w:r>
        <w:r w:rsidR="00531F9B">
          <w:rPr>
            <w:webHidden/>
          </w:rPr>
          <w:instrText xml:space="preserve"> PAGEREF _Toc39790009 \h </w:instrText>
        </w:r>
        <w:r w:rsidR="00531F9B">
          <w:rPr>
            <w:webHidden/>
          </w:rPr>
        </w:r>
        <w:r w:rsidR="00531F9B">
          <w:rPr>
            <w:webHidden/>
          </w:rPr>
          <w:fldChar w:fldCharType="separate"/>
        </w:r>
        <w:r w:rsidR="00CF4AE0">
          <w:rPr>
            <w:webHidden/>
          </w:rPr>
          <w:t>11</w:t>
        </w:r>
        <w:r w:rsidR="00531F9B">
          <w:rPr>
            <w:webHidden/>
          </w:rPr>
          <w:fldChar w:fldCharType="end"/>
        </w:r>
      </w:hyperlink>
    </w:p>
    <w:p w14:paraId="37812FFA" w14:textId="1C0CF06A" w:rsidR="00531F9B" w:rsidRDefault="00CA7367">
      <w:pPr>
        <w:pStyle w:val="TOC2"/>
        <w:rPr>
          <w:rFonts w:asciiTheme="minorHAnsi" w:eastAsiaTheme="minorEastAsia" w:hAnsiTheme="minorHAnsi" w:cstheme="minorBidi"/>
        </w:rPr>
      </w:pPr>
      <w:hyperlink w:anchor="_Toc39790010" w:history="1">
        <w:r w:rsidR="00531F9B" w:rsidRPr="00F614EA">
          <w:rPr>
            <w:rStyle w:val="Hyperlink"/>
            <w:snapToGrid w:val="0"/>
          </w:rPr>
          <w:t>D.</w:t>
        </w:r>
        <w:r w:rsidR="00531F9B">
          <w:rPr>
            <w:rFonts w:asciiTheme="minorHAnsi" w:eastAsiaTheme="minorEastAsia" w:hAnsiTheme="minorHAnsi" w:cstheme="minorBidi"/>
          </w:rPr>
          <w:tab/>
        </w:r>
        <w:r w:rsidR="00531F9B" w:rsidRPr="00F614EA">
          <w:rPr>
            <w:rStyle w:val="Hyperlink"/>
            <w:snapToGrid w:val="0"/>
          </w:rPr>
          <w:t>Implementation Arrangements</w:t>
        </w:r>
        <w:r w:rsidR="00531F9B">
          <w:rPr>
            <w:webHidden/>
          </w:rPr>
          <w:tab/>
        </w:r>
        <w:r w:rsidR="00531F9B">
          <w:rPr>
            <w:webHidden/>
          </w:rPr>
          <w:fldChar w:fldCharType="begin"/>
        </w:r>
        <w:r w:rsidR="00531F9B">
          <w:rPr>
            <w:webHidden/>
          </w:rPr>
          <w:instrText xml:space="preserve"> PAGEREF _Toc39790010 \h </w:instrText>
        </w:r>
        <w:r w:rsidR="00531F9B">
          <w:rPr>
            <w:webHidden/>
          </w:rPr>
        </w:r>
        <w:r w:rsidR="00531F9B">
          <w:rPr>
            <w:webHidden/>
          </w:rPr>
          <w:fldChar w:fldCharType="separate"/>
        </w:r>
        <w:r w:rsidR="00CF4AE0">
          <w:rPr>
            <w:webHidden/>
          </w:rPr>
          <w:t>13</w:t>
        </w:r>
        <w:r w:rsidR="00531F9B">
          <w:rPr>
            <w:webHidden/>
          </w:rPr>
          <w:fldChar w:fldCharType="end"/>
        </w:r>
      </w:hyperlink>
    </w:p>
    <w:p w14:paraId="721A6827" w14:textId="6F6348F8" w:rsidR="00531F9B" w:rsidRDefault="00CA7367">
      <w:pPr>
        <w:pStyle w:val="TOC1"/>
        <w:rPr>
          <w:rFonts w:asciiTheme="minorHAnsi" w:eastAsiaTheme="minorEastAsia" w:hAnsiTheme="minorHAnsi" w:cstheme="minorBidi"/>
          <w:caps w:val="0"/>
        </w:rPr>
      </w:pPr>
      <w:hyperlink w:anchor="_Toc39790011" w:history="1">
        <w:r w:rsidR="00531F9B" w:rsidRPr="00F614EA">
          <w:rPr>
            <w:rStyle w:val="Hyperlink"/>
          </w:rPr>
          <w:t>III.</w:t>
        </w:r>
        <w:r w:rsidR="00531F9B">
          <w:rPr>
            <w:rFonts w:asciiTheme="minorHAnsi" w:eastAsiaTheme="minorEastAsia" w:hAnsiTheme="minorHAnsi" w:cstheme="minorBidi"/>
            <w:caps w:val="0"/>
          </w:rPr>
          <w:tab/>
        </w:r>
        <w:r w:rsidR="00531F9B" w:rsidRPr="00F614EA">
          <w:rPr>
            <w:rStyle w:val="Hyperlink"/>
          </w:rPr>
          <w:t>Due Diligence</w:t>
        </w:r>
        <w:r w:rsidR="00531F9B">
          <w:rPr>
            <w:webHidden/>
          </w:rPr>
          <w:tab/>
        </w:r>
        <w:r w:rsidR="00531F9B">
          <w:rPr>
            <w:webHidden/>
          </w:rPr>
          <w:fldChar w:fldCharType="begin"/>
        </w:r>
        <w:r w:rsidR="00531F9B">
          <w:rPr>
            <w:webHidden/>
          </w:rPr>
          <w:instrText xml:space="preserve"> PAGEREF _Toc39790011 \h </w:instrText>
        </w:r>
        <w:r w:rsidR="00531F9B">
          <w:rPr>
            <w:webHidden/>
          </w:rPr>
        </w:r>
        <w:r w:rsidR="00531F9B">
          <w:rPr>
            <w:webHidden/>
          </w:rPr>
          <w:fldChar w:fldCharType="separate"/>
        </w:r>
        <w:r w:rsidR="00CF4AE0">
          <w:rPr>
            <w:webHidden/>
          </w:rPr>
          <w:t>14</w:t>
        </w:r>
        <w:r w:rsidR="00531F9B">
          <w:rPr>
            <w:webHidden/>
          </w:rPr>
          <w:fldChar w:fldCharType="end"/>
        </w:r>
      </w:hyperlink>
    </w:p>
    <w:p w14:paraId="7A1A944E" w14:textId="1121D421" w:rsidR="00531F9B" w:rsidRDefault="00CA7367">
      <w:pPr>
        <w:pStyle w:val="TOC2"/>
        <w:rPr>
          <w:rFonts w:asciiTheme="minorHAnsi" w:eastAsiaTheme="minorEastAsia" w:hAnsiTheme="minorHAnsi" w:cstheme="minorBidi"/>
        </w:rPr>
      </w:pPr>
      <w:hyperlink w:anchor="_Toc39790012" w:history="1">
        <w:r w:rsidR="00531F9B" w:rsidRPr="00F614EA">
          <w:rPr>
            <w:rStyle w:val="Hyperlink"/>
            <w:lang w:eastAsia="zh-CN"/>
          </w:rPr>
          <w:t>A.</w:t>
        </w:r>
        <w:r w:rsidR="00531F9B">
          <w:rPr>
            <w:rFonts w:asciiTheme="minorHAnsi" w:eastAsiaTheme="minorEastAsia" w:hAnsiTheme="minorHAnsi" w:cstheme="minorBidi"/>
          </w:rPr>
          <w:tab/>
        </w:r>
        <w:r w:rsidR="00531F9B" w:rsidRPr="00F614EA">
          <w:rPr>
            <w:rStyle w:val="Hyperlink"/>
            <w:rFonts w:cs="Arial"/>
            <w:lang w:eastAsia="zh-CN"/>
          </w:rPr>
          <w:t>Governance</w:t>
        </w:r>
        <w:r w:rsidR="00531F9B">
          <w:rPr>
            <w:webHidden/>
          </w:rPr>
          <w:tab/>
        </w:r>
        <w:r w:rsidR="00531F9B">
          <w:rPr>
            <w:webHidden/>
          </w:rPr>
          <w:fldChar w:fldCharType="begin"/>
        </w:r>
        <w:r w:rsidR="00531F9B">
          <w:rPr>
            <w:webHidden/>
          </w:rPr>
          <w:instrText xml:space="preserve"> PAGEREF _Toc39790012 \h </w:instrText>
        </w:r>
        <w:r w:rsidR="00531F9B">
          <w:rPr>
            <w:webHidden/>
          </w:rPr>
        </w:r>
        <w:r w:rsidR="00531F9B">
          <w:rPr>
            <w:webHidden/>
          </w:rPr>
          <w:fldChar w:fldCharType="separate"/>
        </w:r>
        <w:r w:rsidR="00CF4AE0">
          <w:rPr>
            <w:webHidden/>
          </w:rPr>
          <w:t>14</w:t>
        </w:r>
        <w:r w:rsidR="00531F9B">
          <w:rPr>
            <w:webHidden/>
          </w:rPr>
          <w:fldChar w:fldCharType="end"/>
        </w:r>
      </w:hyperlink>
    </w:p>
    <w:p w14:paraId="68B86327" w14:textId="5B14CEA6" w:rsidR="00531F9B" w:rsidRDefault="00CA7367">
      <w:pPr>
        <w:pStyle w:val="TOC2"/>
        <w:rPr>
          <w:rFonts w:asciiTheme="minorHAnsi" w:eastAsiaTheme="minorEastAsia" w:hAnsiTheme="minorHAnsi" w:cstheme="minorBidi"/>
        </w:rPr>
      </w:pPr>
      <w:hyperlink w:anchor="_Toc39790013" w:history="1">
        <w:r w:rsidR="00531F9B" w:rsidRPr="00F614EA">
          <w:rPr>
            <w:rStyle w:val="Hyperlink"/>
            <w:lang w:eastAsia="zh-CN"/>
          </w:rPr>
          <w:t>B.</w:t>
        </w:r>
        <w:r w:rsidR="00531F9B">
          <w:rPr>
            <w:rFonts w:asciiTheme="minorHAnsi" w:eastAsiaTheme="minorEastAsia" w:hAnsiTheme="minorHAnsi" w:cstheme="minorBidi"/>
          </w:rPr>
          <w:tab/>
        </w:r>
        <w:r w:rsidR="00531F9B" w:rsidRPr="00F614EA">
          <w:rPr>
            <w:rStyle w:val="Hyperlink"/>
            <w:rFonts w:cs="Arial"/>
            <w:lang w:eastAsia="zh-CN"/>
          </w:rPr>
          <w:t>Poverty and Social</w:t>
        </w:r>
        <w:r w:rsidR="00531F9B">
          <w:rPr>
            <w:webHidden/>
          </w:rPr>
          <w:tab/>
        </w:r>
        <w:r w:rsidR="00531F9B">
          <w:rPr>
            <w:webHidden/>
          </w:rPr>
          <w:fldChar w:fldCharType="begin"/>
        </w:r>
        <w:r w:rsidR="00531F9B">
          <w:rPr>
            <w:webHidden/>
          </w:rPr>
          <w:instrText xml:space="preserve"> PAGEREF _Toc39790013 \h </w:instrText>
        </w:r>
        <w:r w:rsidR="00531F9B">
          <w:rPr>
            <w:webHidden/>
          </w:rPr>
        </w:r>
        <w:r w:rsidR="00531F9B">
          <w:rPr>
            <w:webHidden/>
          </w:rPr>
          <w:fldChar w:fldCharType="separate"/>
        </w:r>
        <w:r w:rsidR="00CF4AE0">
          <w:rPr>
            <w:webHidden/>
          </w:rPr>
          <w:t>14</w:t>
        </w:r>
        <w:r w:rsidR="00531F9B">
          <w:rPr>
            <w:webHidden/>
          </w:rPr>
          <w:fldChar w:fldCharType="end"/>
        </w:r>
      </w:hyperlink>
    </w:p>
    <w:p w14:paraId="04C0C1E3" w14:textId="257E0608" w:rsidR="00531F9B" w:rsidRDefault="00CA7367">
      <w:pPr>
        <w:pStyle w:val="TOC2"/>
        <w:rPr>
          <w:rFonts w:asciiTheme="minorHAnsi" w:eastAsiaTheme="minorEastAsia" w:hAnsiTheme="minorHAnsi" w:cstheme="minorBidi"/>
        </w:rPr>
      </w:pPr>
      <w:hyperlink w:anchor="_Toc39790014" w:history="1">
        <w:r w:rsidR="00531F9B" w:rsidRPr="00F614EA">
          <w:rPr>
            <w:rStyle w:val="Hyperlink"/>
            <w:rFonts w:eastAsia="MS Mincho"/>
            <w:lang w:eastAsia="ja-JP"/>
          </w:rPr>
          <w:t>C.</w:t>
        </w:r>
        <w:r w:rsidR="00531F9B">
          <w:rPr>
            <w:rFonts w:asciiTheme="minorHAnsi" w:eastAsiaTheme="minorEastAsia" w:hAnsiTheme="minorHAnsi" w:cstheme="minorBidi"/>
          </w:rPr>
          <w:tab/>
        </w:r>
        <w:r w:rsidR="00531F9B" w:rsidRPr="00F614EA">
          <w:rPr>
            <w:rStyle w:val="Hyperlink"/>
            <w:rFonts w:eastAsia="MS Mincho" w:cs="Arial"/>
            <w:bCs/>
            <w:lang w:eastAsia="ja-JP"/>
          </w:rPr>
          <w:t>Safeguards</w:t>
        </w:r>
        <w:r w:rsidR="00531F9B">
          <w:rPr>
            <w:webHidden/>
          </w:rPr>
          <w:tab/>
        </w:r>
        <w:r w:rsidR="00531F9B">
          <w:rPr>
            <w:webHidden/>
          </w:rPr>
          <w:fldChar w:fldCharType="begin"/>
        </w:r>
        <w:r w:rsidR="00531F9B">
          <w:rPr>
            <w:webHidden/>
          </w:rPr>
          <w:instrText xml:space="preserve"> PAGEREF _Toc39790014 \h </w:instrText>
        </w:r>
        <w:r w:rsidR="00531F9B">
          <w:rPr>
            <w:webHidden/>
          </w:rPr>
        </w:r>
        <w:r w:rsidR="00531F9B">
          <w:rPr>
            <w:webHidden/>
          </w:rPr>
          <w:fldChar w:fldCharType="separate"/>
        </w:r>
        <w:r w:rsidR="00CF4AE0">
          <w:rPr>
            <w:webHidden/>
          </w:rPr>
          <w:t>15</w:t>
        </w:r>
        <w:r w:rsidR="00531F9B">
          <w:rPr>
            <w:webHidden/>
          </w:rPr>
          <w:fldChar w:fldCharType="end"/>
        </w:r>
      </w:hyperlink>
    </w:p>
    <w:p w14:paraId="71DAD876" w14:textId="045F2129" w:rsidR="00531F9B" w:rsidRDefault="00CA7367">
      <w:pPr>
        <w:pStyle w:val="TOC2"/>
        <w:rPr>
          <w:rFonts w:asciiTheme="minorHAnsi" w:eastAsiaTheme="minorEastAsia" w:hAnsiTheme="minorHAnsi" w:cstheme="minorBidi"/>
        </w:rPr>
      </w:pPr>
      <w:hyperlink w:anchor="_Toc39790015" w:history="1">
        <w:r w:rsidR="00531F9B" w:rsidRPr="00F614EA">
          <w:rPr>
            <w:rStyle w:val="Hyperlink"/>
            <w:lang w:eastAsia="zh-CN"/>
          </w:rPr>
          <w:t>D.</w:t>
        </w:r>
        <w:r w:rsidR="00531F9B">
          <w:rPr>
            <w:rFonts w:asciiTheme="minorHAnsi" w:eastAsiaTheme="minorEastAsia" w:hAnsiTheme="minorHAnsi" w:cstheme="minorBidi"/>
          </w:rPr>
          <w:tab/>
        </w:r>
        <w:r w:rsidR="00531F9B" w:rsidRPr="00F614EA">
          <w:rPr>
            <w:rStyle w:val="Hyperlink"/>
            <w:rFonts w:cs="Arial"/>
            <w:lang w:eastAsia="zh-CN"/>
          </w:rPr>
          <w:t>Risks and Mitigating Measures</w:t>
        </w:r>
        <w:r w:rsidR="00531F9B">
          <w:rPr>
            <w:webHidden/>
          </w:rPr>
          <w:tab/>
        </w:r>
        <w:r w:rsidR="00531F9B">
          <w:rPr>
            <w:webHidden/>
          </w:rPr>
          <w:fldChar w:fldCharType="begin"/>
        </w:r>
        <w:r w:rsidR="00531F9B">
          <w:rPr>
            <w:webHidden/>
          </w:rPr>
          <w:instrText xml:space="preserve"> PAGEREF _Toc39790015 \h </w:instrText>
        </w:r>
        <w:r w:rsidR="00531F9B">
          <w:rPr>
            <w:webHidden/>
          </w:rPr>
        </w:r>
        <w:r w:rsidR="00531F9B">
          <w:rPr>
            <w:webHidden/>
          </w:rPr>
          <w:fldChar w:fldCharType="separate"/>
        </w:r>
        <w:r w:rsidR="00CF4AE0">
          <w:rPr>
            <w:webHidden/>
          </w:rPr>
          <w:t>15</w:t>
        </w:r>
        <w:r w:rsidR="00531F9B">
          <w:rPr>
            <w:webHidden/>
          </w:rPr>
          <w:fldChar w:fldCharType="end"/>
        </w:r>
      </w:hyperlink>
    </w:p>
    <w:p w14:paraId="73AF0D24" w14:textId="228F44D9" w:rsidR="00531F9B" w:rsidRDefault="00CA7367">
      <w:pPr>
        <w:pStyle w:val="TOC1"/>
        <w:rPr>
          <w:rFonts w:asciiTheme="minorHAnsi" w:eastAsiaTheme="minorEastAsia" w:hAnsiTheme="minorHAnsi" w:cstheme="minorBidi"/>
          <w:caps w:val="0"/>
        </w:rPr>
      </w:pPr>
      <w:hyperlink w:anchor="_Toc39790016" w:history="1">
        <w:r w:rsidR="00531F9B" w:rsidRPr="00F614EA">
          <w:rPr>
            <w:rStyle w:val="Hyperlink"/>
          </w:rPr>
          <w:t>IV.</w:t>
        </w:r>
        <w:r w:rsidR="00531F9B">
          <w:rPr>
            <w:rFonts w:asciiTheme="minorHAnsi" w:eastAsiaTheme="minorEastAsia" w:hAnsiTheme="minorHAnsi" w:cstheme="minorBidi"/>
            <w:caps w:val="0"/>
          </w:rPr>
          <w:tab/>
        </w:r>
        <w:r w:rsidR="00531F9B" w:rsidRPr="00F614EA">
          <w:rPr>
            <w:rStyle w:val="Hyperlink"/>
          </w:rPr>
          <w:t>Assurances</w:t>
        </w:r>
        <w:r w:rsidR="00531F9B">
          <w:rPr>
            <w:webHidden/>
          </w:rPr>
          <w:tab/>
        </w:r>
        <w:r w:rsidR="00531F9B">
          <w:rPr>
            <w:webHidden/>
          </w:rPr>
          <w:fldChar w:fldCharType="begin"/>
        </w:r>
        <w:r w:rsidR="00531F9B">
          <w:rPr>
            <w:webHidden/>
          </w:rPr>
          <w:instrText xml:space="preserve"> PAGEREF _Toc39790016 \h </w:instrText>
        </w:r>
        <w:r w:rsidR="00531F9B">
          <w:rPr>
            <w:webHidden/>
          </w:rPr>
        </w:r>
        <w:r w:rsidR="00531F9B">
          <w:rPr>
            <w:webHidden/>
          </w:rPr>
          <w:fldChar w:fldCharType="separate"/>
        </w:r>
        <w:r w:rsidR="00CF4AE0">
          <w:rPr>
            <w:webHidden/>
          </w:rPr>
          <w:t>15</w:t>
        </w:r>
        <w:r w:rsidR="00531F9B">
          <w:rPr>
            <w:webHidden/>
          </w:rPr>
          <w:fldChar w:fldCharType="end"/>
        </w:r>
      </w:hyperlink>
    </w:p>
    <w:p w14:paraId="1D981C09" w14:textId="572F323F" w:rsidR="00531F9B" w:rsidRDefault="00CA7367">
      <w:pPr>
        <w:pStyle w:val="TOC1"/>
      </w:pPr>
      <w:hyperlink w:anchor="_Toc39790017" w:history="1">
        <w:r w:rsidR="00531F9B" w:rsidRPr="00F614EA">
          <w:rPr>
            <w:rStyle w:val="Hyperlink"/>
          </w:rPr>
          <w:t>V.</w:t>
        </w:r>
        <w:r w:rsidR="00531F9B">
          <w:rPr>
            <w:rFonts w:asciiTheme="minorHAnsi" w:eastAsiaTheme="minorEastAsia" w:hAnsiTheme="minorHAnsi" w:cstheme="minorBidi"/>
            <w:caps w:val="0"/>
          </w:rPr>
          <w:tab/>
        </w:r>
        <w:r w:rsidR="00531F9B" w:rsidRPr="00F614EA">
          <w:rPr>
            <w:rStyle w:val="Hyperlink"/>
          </w:rPr>
          <w:t>Recommendation</w:t>
        </w:r>
        <w:r w:rsidR="00531F9B">
          <w:rPr>
            <w:webHidden/>
          </w:rPr>
          <w:tab/>
        </w:r>
        <w:r w:rsidR="00531F9B">
          <w:rPr>
            <w:webHidden/>
          </w:rPr>
          <w:fldChar w:fldCharType="begin"/>
        </w:r>
        <w:r w:rsidR="00531F9B">
          <w:rPr>
            <w:webHidden/>
          </w:rPr>
          <w:instrText xml:space="preserve"> PAGEREF _Toc39790017 \h </w:instrText>
        </w:r>
        <w:r w:rsidR="00531F9B">
          <w:rPr>
            <w:webHidden/>
          </w:rPr>
        </w:r>
        <w:r w:rsidR="00531F9B">
          <w:rPr>
            <w:webHidden/>
          </w:rPr>
          <w:fldChar w:fldCharType="separate"/>
        </w:r>
        <w:r w:rsidR="00CF4AE0">
          <w:rPr>
            <w:webHidden/>
          </w:rPr>
          <w:t>15</w:t>
        </w:r>
        <w:r w:rsidR="00531F9B">
          <w:rPr>
            <w:webHidden/>
          </w:rPr>
          <w:fldChar w:fldCharType="end"/>
        </w:r>
      </w:hyperlink>
    </w:p>
    <w:p w14:paraId="673CF1FB" w14:textId="77777777" w:rsidR="00740F08" w:rsidRDefault="00740F08" w:rsidP="00740F08"/>
    <w:p w14:paraId="58FDC761" w14:textId="1B0345C4" w:rsidR="00740F08" w:rsidRPr="00740F08" w:rsidRDefault="00740F08" w:rsidP="00740F08">
      <w:r>
        <w:t>APPENDIXES</w:t>
      </w:r>
    </w:p>
    <w:p w14:paraId="6F7845C8" w14:textId="441F9693" w:rsidR="00531F9B" w:rsidRPr="00565F68" w:rsidRDefault="00CA7367" w:rsidP="004F7C23">
      <w:pPr>
        <w:pStyle w:val="TOC3"/>
        <w:tabs>
          <w:tab w:val="right" w:pos="9350"/>
        </w:tabs>
        <w:ind w:left="720" w:hanging="720"/>
        <w:rPr>
          <w:rFonts w:asciiTheme="minorHAnsi" w:eastAsiaTheme="minorEastAsia" w:hAnsiTheme="minorHAnsi" w:cstheme="minorBidi"/>
          <w:caps/>
          <w:noProof/>
        </w:rPr>
      </w:pPr>
      <w:hyperlink w:anchor="_Toc39790018" w:history="1">
        <w:r w:rsidR="00740F08">
          <w:rPr>
            <w:rStyle w:val="Hyperlink"/>
          </w:rPr>
          <w:t>Design and Monitoring Framework</w:t>
        </w:r>
        <w:r w:rsidR="00531F9B" w:rsidRPr="00565F68">
          <w:rPr>
            <w:caps/>
            <w:noProof/>
            <w:webHidden/>
          </w:rPr>
          <w:tab/>
        </w:r>
        <w:r w:rsidR="00531F9B" w:rsidRPr="00565F68">
          <w:rPr>
            <w:caps/>
            <w:noProof/>
            <w:webHidden/>
          </w:rPr>
          <w:fldChar w:fldCharType="begin"/>
        </w:r>
        <w:r w:rsidR="00531F9B" w:rsidRPr="00565F68">
          <w:rPr>
            <w:caps/>
            <w:noProof/>
            <w:webHidden/>
          </w:rPr>
          <w:instrText xml:space="preserve"> PAGEREF _Toc39790018 \h </w:instrText>
        </w:r>
        <w:r w:rsidR="00531F9B" w:rsidRPr="00565F68">
          <w:rPr>
            <w:caps/>
            <w:noProof/>
            <w:webHidden/>
          </w:rPr>
        </w:r>
        <w:r w:rsidR="00531F9B" w:rsidRPr="00565F68">
          <w:rPr>
            <w:caps/>
            <w:noProof/>
            <w:webHidden/>
          </w:rPr>
          <w:fldChar w:fldCharType="separate"/>
        </w:r>
        <w:r w:rsidR="00CF4AE0" w:rsidRPr="00565F68">
          <w:rPr>
            <w:caps/>
            <w:noProof/>
            <w:webHidden/>
          </w:rPr>
          <w:t>16</w:t>
        </w:r>
        <w:r w:rsidR="00531F9B" w:rsidRPr="00565F68">
          <w:rPr>
            <w:caps/>
            <w:noProof/>
            <w:webHidden/>
          </w:rPr>
          <w:fldChar w:fldCharType="end"/>
        </w:r>
      </w:hyperlink>
    </w:p>
    <w:p w14:paraId="7419F28E" w14:textId="2126CEE6" w:rsidR="00531F9B" w:rsidRPr="00565F68" w:rsidRDefault="0042344F">
      <w:pPr>
        <w:pStyle w:val="TOC1"/>
        <w:rPr>
          <w:rFonts w:asciiTheme="minorHAnsi" w:eastAsiaTheme="minorEastAsia" w:hAnsiTheme="minorHAnsi" w:cstheme="minorBidi"/>
        </w:rPr>
      </w:pPr>
      <w:r w:rsidRPr="00565F68">
        <w:t>2.</w:t>
      </w:r>
      <w:r w:rsidRPr="00565F68">
        <w:tab/>
      </w:r>
      <w:hyperlink w:anchor="_Toc39790019" w:history="1">
        <w:r w:rsidR="00531F9B" w:rsidRPr="00565F68">
          <w:rPr>
            <w:rStyle w:val="Hyperlink"/>
          </w:rPr>
          <w:t>L</w:t>
        </w:r>
        <w:r w:rsidR="00740F08">
          <w:rPr>
            <w:rStyle w:val="Hyperlink"/>
            <w:caps w:val="0"/>
          </w:rPr>
          <w:t>ist of Linked Documents</w:t>
        </w:r>
        <w:r w:rsidR="00531F9B" w:rsidRPr="00565F68">
          <w:rPr>
            <w:webHidden/>
          </w:rPr>
          <w:tab/>
        </w:r>
        <w:r w:rsidR="00531F9B" w:rsidRPr="00565F68">
          <w:rPr>
            <w:webHidden/>
          </w:rPr>
          <w:fldChar w:fldCharType="begin"/>
        </w:r>
        <w:r w:rsidR="00531F9B" w:rsidRPr="00565F68">
          <w:rPr>
            <w:webHidden/>
          </w:rPr>
          <w:instrText xml:space="preserve"> PAGEREF _Toc39790019 \h </w:instrText>
        </w:r>
        <w:r w:rsidR="00531F9B" w:rsidRPr="00565F68">
          <w:rPr>
            <w:webHidden/>
          </w:rPr>
        </w:r>
        <w:r w:rsidR="00531F9B" w:rsidRPr="00565F68">
          <w:rPr>
            <w:webHidden/>
          </w:rPr>
          <w:fldChar w:fldCharType="separate"/>
        </w:r>
        <w:r w:rsidR="00CF4AE0" w:rsidRPr="00565F68">
          <w:rPr>
            <w:webHidden/>
          </w:rPr>
          <w:t>19</w:t>
        </w:r>
        <w:r w:rsidR="00531F9B" w:rsidRPr="00565F68">
          <w:rPr>
            <w:webHidden/>
          </w:rPr>
          <w:fldChar w:fldCharType="end"/>
        </w:r>
      </w:hyperlink>
    </w:p>
    <w:p w14:paraId="227B16D1" w14:textId="5C2E956C" w:rsidR="00531F9B" w:rsidRDefault="00777FE6">
      <w:pPr>
        <w:pStyle w:val="TOC1"/>
      </w:pPr>
      <w:r>
        <w:t>3.</w:t>
      </w:r>
      <w:r>
        <w:tab/>
      </w:r>
      <w:hyperlink w:anchor="_Toc39790020" w:history="1">
        <w:r w:rsidR="00531F9B" w:rsidRPr="00565F68">
          <w:rPr>
            <w:rStyle w:val="Hyperlink"/>
          </w:rPr>
          <w:t>D</w:t>
        </w:r>
        <w:r w:rsidR="00531F9B" w:rsidRPr="00740F08">
          <w:rPr>
            <w:rStyle w:val="Hyperlink"/>
            <w:caps w:val="0"/>
          </w:rPr>
          <w:t>evelopment Policy Letter</w:t>
        </w:r>
        <w:r w:rsidR="00531F9B" w:rsidRPr="00565F68">
          <w:rPr>
            <w:webHidden/>
          </w:rPr>
          <w:tab/>
        </w:r>
        <w:r w:rsidR="00531F9B" w:rsidRPr="00565F68">
          <w:rPr>
            <w:webHidden/>
          </w:rPr>
          <w:fldChar w:fldCharType="begin"/>
        </w:r>
        <w:r w:rsidR="00531F9B" w:rsidRPr="00565F68">
          <w:rPr>
            <w:webHidden/>
          </w:rPr>
          <w:instrText xml:space="preserve"> PAGEREF _Toc39790020 \h </w:instrText>
        </w:r>
        <w:r w:rsidR="00531F9B" w:rsidRPr="00565F68">
          <w:rPr>
            <w:webHidden/>
          </w:rPr>
        </w:r>
        <w:r w:rsidR="00531F9B" w:rsidRPr="00565F68">
          <w:rPr>
            <w:webHidden/>
          </w:rPr>
          <w:fldChar w:fldCharType="separate"/>
        </w:r>
        <w:r w:rsidR="00CF4AE0" w:rsidRPr="00565F68">
          <w:rPr>
            <w:webHidden/>
          </w:rPr>
          <w:t>20</w:t>
        </w:r>
        <w:r w:rsidR="00531F9B" w:rsidRPr="00565F68">
          <w:rPr>
            <w:webHidden/>
          </w:rPr>
          <w:fldChar w:fldCharType="end"/>
        </w:r>
      </w:hyperlink>
    </w:p>
    <w:p w14:paraId="63421297" w14:textId="13C4015F" w:rsidR="005D362B" w:rsidRPr="00740F08" w:rsidRDefault="00740F08" w:rsidP="005D362B">
      <w:pPr>
        <w:pStyle w:val="TOC1"/>
        <w:spacing w:after="0"/>
        <w:rPr>
          <w:caps w:val="0"/>
        </w:rPr>
      </w:pPr>
      <w:r>
        <w:t>4</w:t>
      </w:r>
      <w:r w:rsidR="005D362B">
        <w:t>.</w:t>
      </w:r>
      <w:r w:rsidR="005D362B">
        <w:tab/>
      </w:r>
      <w:hyperlink w:anchor="_Toc39790020" w:history="1">
        <w:r w:rsidR="005D362B" w:rsidRPr="00740F08">
          <w:rPr>
            <w:caps w:val="0"/>
          </w:rPr>
          <w:t>A</w:t>
        </w:r>
        <w:r>
          <w:rPr>
            <w:caps w:val="0"/>
          </w:rPr>
          <w:t xml:space="preserve">ssessment of Compliance with the </w:t>
        </w:r>
        <w:r w:rsidR="005D362B" w:rsidRPr="00740F08">
          <w:rPr>
            <w:caps w:val="0"/>
          </w:rPr>
          <w:t>A</w:t>
        </w:r>
        <w:r>
          <w:rPr>
            <w:caps w:val="0"/>
          </w:rPr>
          <w:t>cces</w:t>
        </w:r>
        <w:r w:rsidR="005D362B" w:rsidRPr="00740F08">
          <w:rPr>
            <w:caps w:val="0"/>
          </w:rPr>
          <w:t xml:space="preserve"> C</w:t>
        </w:r>
        <w:r>
          <w:rPr>
            <w:caps w:val="0"/>
          </w:rPr>
          <w:t>riteria for the Countercyclical</w:t>
        </w:r>
        <w:r w:rsidR="005D362B" w:rsidRPr="00740F08">
          <w:rPr>
            <w:caps w:val="0"/>
            <w:webHidden/>
          </w:rPr>
          <w:tab/>
        </w:r>
        <w:r w:rsidR="005D362B" w:rsidRPr="00740F08">
          <w:rPr>
            <w:caps w:val="0"/>
            <w:webHidden/>
          </w:rPr>
          <w:fldChar w:fldCharType="begin"/>
        </w:r>
        <w:r w:rsidR="005D362B" w:rsidRPr="00740F08">
          <w:rPr>
            <w:caps w:val="0"/>
            <w:webHidden/>
          </w:rPr>
          <w:instrText xml:space="preserve"> PAGEREF _Toc39790020 \h </w:instrText>
        </w:r>
        <w:r w:rsidR="005D362B" w:rsidRPr="00740F08">
          <w:rPr>
            <w:caps w:val="0"/>
            <w:webHidden/>
          </w:rPr>
        </w:r>
        <w:r w:rsidR="005D362B" w:rsidRPr="00740F08">
          <w:rPr>
            <w:caps w:val="0"/>
            <w:webHidden/>
          </w:rPr>
          <w:fldChar w:fldCharType="separate"/>
        </w:r>
        <w:r w:rsidR="005D362B" w:rsidRPr="00740F08">
          <w:rPr>
            <w:caps w:val="0"/>
            <w:webHidden/>
          </w:rPr>
          <w:t>2</w:t>
        </w:r>
        <w:r w:rsidR="005D362B" w:rsidRPr="00740F08">
          <w:rPr>
            <w:caps w:val="0"/>
            <w:webHidden/>
          </w:rPr>
          <w:fldChar w:fldCharType="end"/>
        </w:r>
      </w:hyperlink>
      <w:r w:rsidR="008B1C10" w:rsidRPr="00740F08">
        <w:rPr>
          <w:caps w:val="0"/>
        </w:rPr>
        <w:t>2</w:t>
      </w:r>
    </w:p>
    <w:p w14:paraId="2440FFA0" w14:textId="5F781E21" w:rsidR="005D362B" w:rsidRPr="00740F08" w:rsidRDefault="005D362B" w:rsidP="005D362B">
      <w:pPr>
        <w:ind w:left="720"/>
      </w:pPr>
      <w:r w:rsidRPr="00740F08">
        <w:t>S</w:t>
      </w:r>
      <w:r w:rsidR="00740F08">
        <w:t xml:space="preserve">upport Facility and </w:t>
      </w:r>
      <w:r w:rsidRPr="00740F08">
        <w:t>COVID-19</w:t>
      </w:r>
      <w:r w:rsidR="00740F08">
        <w:t xml:space="preserve"> Pandemic Response Option</w:t>
      </w:r>
    </w:p>
    <w:p w14:paraId="4D94A568" w14:textId="672712AF" w:rsidR="001156C6" w:rsidRPr="0022132C" w:rsidRDefault="00DA6196" w:rsidP="0022132C">
      <w:r>
        <w:rPr>
          <w:rFonts w:cs="Arial"/>
          <w:noProof/>
        </w:rPr>
        <w:fldChar w:fldCharType="end"/>
      </w:r>
    </w:p>
    <w:p w14:paraId="5A9A75D3" w14:textId="77777777" w:rsidR="001156C6" w:rsidRPr="0022132C" w:rsidRDefault="001156C6" w:rsidP="0022132C"/>
    <w:p w14:paraId="72A700D5" w14:textId="77777777" w:rsidR="001156C6" w:rsidRPr="0022132C" w:rsidRDefault="001156C6" w:rsidP="0022132C"/>
    <w:p w14:paraId="0BD7DBC6" w14:textId="77777777" w:rsidR="001156C6" w:rsidRPr="0022132C" w:rsidRDefault="001156C6" w:rsidP="0022132C"/>
    <w:p w14:paraId="73170016" w14:textId="034B23EA" w:rsidR="001156C6" w:rsidRPr="00D043F8" w:rsidRDefault="00BB526D" w:rsidP="00D043F8">
      <w:pPr>
        <w:pStyle w:val="FrontMatter"/>
      </w:pPr>
      <w:r w:rsidRPr="00D043F8">
        <w:br w:type="page"/>
      </w:r>
    </w:p>
    <w:p w14:paraId="546B3EEE" w14:textId="77777777" w:rsidR="001156C6" w:rsidRDefault="001156C6" w:rsidP="002551A2">
      <w:pPr>
        <w:rPr>
          <w:rFonts w:cs="Arial"/>
          <w:bCs/>
          <w:color w:val="FF0000"/>
        </w:rPr>
      </w:pPr>
    </w:p>
    <w:p w14:paraId="77033FC8" w14:textId="7EA447B5" w:rsidR="00DB5AA9" w:rsidRDefault="36DA40FD">
      <w:pPr>
        <w:sectPr w:rsidR="00DB5AA9" w:rsidSect="00B56E32">
          <w:headerReference w:type="default" r:id="rId15"/>
          <w:headerReference w:type="first" r:id="rId16"/>
          <w:footnotePr>
            <w:numRestart w:val="eachSect"/>
          </w:footnotePr>
          <w:endnotePr>
            <w:numRestart w:val="eachSect"/>
          </w:endnotePr>
          <w:pgSz w:w="12240" w:h="15840" w:code="1"/>
          <w:pgMar w:top="1440" w:right="1440" w:bottom="1440" w:left="1440" w:header="720" w:footer="720" w:gutter="0"/>
          <w:pgNumType w:start="1"/>
          <w:cols w:space="720"/>
          <w:titlePg/>
        </w:sectPr>
      </w:pPr>
      <w:r>
        <w:rPr>
          <w:noProof/>
        </w:rPr>
        <w:drawing>
          <wp:inline distT="0" distB="0" distL="0" distR="0" wp14:anchorId="00190E36" wp14:editId="02D0ABAC">
            <wp:extent cx="5875020" cy="7744895"/>
            <wp:effectExtent l="0" t="0" r="0" b="8890"/>
            <wp:docPr id="340811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rcRect l="3847" t="1783" r="2500" b="2815"/>
                    <a:stretch>
                      <a:fillRect/>
                    </a:stretch>
                  </pic:blipFill>
                  <pic:spPr>
                    <a:xfrm>
                      <a:off x="0" y="0"/>
                      <a:ext cx="5875020" cy="7744895"/>
                    </a:xfrm>
                    <a:prstGeom prst="rect">
                      <a:avLst/>
                    </a:prstGeom>
                  </pic:spPr>
                </pic:pic>
              </a:graphicData>
            </a:graphic>
          </wp:inline>
        </w:drawing>
      </w:r>
    </w:p>
    <w:p w14:paraId="1E6F79D4" w14:textId="114A1772" w:rsidR="001156C6" w:rsidRDefault="00BB526D" w:rsidP="00B96F7E">
      <w:pPr>
        <w:pStyle w:val="Heading1"/>
        <w:ind w:left="0" w:firstLine="0"/>
      </w:pPr>
      <w:bookmarkStart w:id="1" w:name="_Toc2503800"/>
      <w:bookmarkStart w:id="2" w:name="_Toc246237702"/>
      <w:bookmarkStart w:id="3" w:name="_Toc39790005"/>
      <w:r w:rsidRPr="00BB526D">
        <w:lastRenderedPageBreak/>
        <w:t>The Proposal</w:t>
      </w:r>
      <w:bookmarkEnd w:id="1"/>
      <w:bookmarkEnd w:id="2"/>
      <w:bookmarkEnd w:id="3"/>
    </w:p>
    <w:p w14:paraId="62722EFA" w14:textId="29020FD5" w:rsidR="00BB526D" w:rsidRPr="00D043F8" w:rsidRDefault="00BB526D" w:rsidP="0072494A">
      <w:pPr>
        <w:keepNext/>
      </w:pPr>
    </w:p>
    <w:p w14:paraId="06E55982" w14:textId="5679E5CF" w:rsidR="005E709E" w:rsidRPr="00AC3013" w:rsidRDefault="005E709E" w:rsidP="00EA2F1B">
      <w:pPr>
        <w:pStyle w:val="ListParagraph"/>
        <w:numPr>
          <w:ilvl w:val="0"/>
          <w:numId w:val="6"/>
        </w:numPr>
        <w:ind w:left="0" w:firstLine="0"/>
        <w:jc w:val="both"/>
        <w:rPr>
          <w:lang w:val="en-PH"/>
        </w:rPr>
      </w:pPr>
      <w:r w:rsidRPr="00681D51">
        <w:t>I submit for your approval the following report and recommendation on proposed loan to</w:t>
      </w:r>
      <w:r w:rsidR="00B56E32">
        <w:t xml:space="preserve"> </w:t>
      </w:r>
      <w:r w:rsidR="004A62A3">
        <w:t xml:space="preserve">Georgia </w:t>
      </w:r>
      <w:r>
        <w:t xml:space="preserve">for the </w:t>
      </w:r>
      <w:r w:rsidR="00B56E32">
        <w:t xml:space="preserve">COVID-19 Active Response and Expenditure Support (CARES) Program </w:t>
      </w:r>
      <w:r>
        <w:t>(</w:t>
      </w:r>
      <w:r w:rsidR="004A62A3">
        <w:t>the Program</w:t>
      </w:r>
      <w:r>
        <w:t>)</w:t>
      </w:r>
      <w:r w:rsidR="00265482" w:rsidRPr="00D33484">
        <w:rPr>
          <w:shd w:val="clear" w:color="auto" w:fill="FFFFFF"/>
        </w:rPr>
        <w:t xml:space="preserve"> under the Countercyclical Support Facility–COVID-19 pandemic response option (CPRO)</w:t>
      </w:r>
      <w:r w:rsidR="00265482" w:rsidRPr="00D33484">
        <w:t>.</w:t>
      </w:r>
      <w:r w:rsidR="00265482" w:rsidRPr="00D33484">
        <w:rPr>
          <w:rStyle w:val="FootnoteReference"/>
          <w:rFonts w:cs="Arial"/>
          <w:color w:val="000000" w:themeColor="text1"/>
          <w:szCs w:val="22"/>
        </w:rPr>
        <w:footnoteReference w:id="2"/>
      </w:r>
      <w:r w:rsidR="00265482" w:rsidRPr="00D33484">
        <w:t xml:space="preserve"> </w:t>
      </w:r>
    </w:p>
    <w:p w14:paraId="7B026A1B" w14:textId="77777777" w:rsidR="00AC3013" w:rsidRPr="00AC3013" w:rsidRDefault="00AC3013" w:rsidP="00AC3013">
      <w:pPr>
        <w:pStyle w:val="ListParagraph"/>
        <w:ind w:left="0"/>
        <w:jc w:val="both"/>
        <w:rPr>
          <w:lang w:val="en-PH"/>
        </w:rPr>
      </w:pPr>
    </w:p>
    <w:p w14:paraId="6A0976AB" w14:textId="4270A75E" w:rsidR="00776CD0" w:rsidRPr="00571B64" w:rsidRDefault="00237096" w:rsidP="00EA2F1B">
      <w:pPr>
        <w:pStyle w:val="ListParagraph"/>
        <w:numPr>
          <w:ilvl w:val="0"/>
          <w:numId w:val="6"/>
        </w:numPr>
        <w:ind w:left="0" w:firstLine="0"/>
        <w:jc w:val="both"/>
        <w:rPr>
          <w:lang w:val="en-PH"/>
        </w:rPr>
      </w:pPr>
      <w:r>
        <w:t>The Government of Georgia (the government) responded to the public health threat posed by COVID-19 in a timely and effective manner</w:t>
      </w:r>
      <w:r w:rsidR="00217490">
        <w:t xml:space="preserve"> by introducing a comprehensive package o</w:t>
      </w:r>
      <w:r w:rsidR="00974FF0">
        <w:t>f</w:t>
      </w:r>
      <w:r w:rsidR="00217490">
        <w:t xml:space="preserve"> </w:t>
      </w:r>
      <w:r w:rsidR="00E20886">
        <w:t>containment measures</w:t>
      </w:r>
      <w:r w:rsidR="00217490">
        <w:t xml:space="preserve">. </w:t>
      </w:r>
      <w:r w:rsidR="00680477">
        <w:t xml:space="preserve">However, </w:t>
      </w:r>
      <w:r w:rsidR="26950125">
        <w:t xml:space="preserve">while </w:t>
      </w:r>
      <w:r w:rsidR="00680477">
        <w:t>the</w:t>
      </w:r>
      <w:r w:rsidR="7ACDB945">
        <w:t>se</w:t>
      </w:r>
      <w:r w:rsidR="00680477">
        <w:t xml:space="preserve"> strict containment efforts have thus far </w:t>
      </w:r>
      <w:r w:rsidR="00D601CF">
        <w:t>shielded</w:t>
      </w:r>
      <w:r w:rsidR="00680477">
        <w:t xml:space="preserve"> </w:t>
      </w:r>
      <w:r w:rsidR="485CB705">
        <w:t>a</w:t>
      </w:r>
      <w:r w:rsidR="00680477">
        <w:t xml:space="preserve"> </w:t>
      </w:r>
      <w:r w:rsidR="00056711">
        <w:t>vulnerable</w:t>
      </w:r>
      <w:r w:rsidR="00680477">
        <w:t xml:space="preserve"> public health system from overburden, </w:t>
      </w:r>
      <w:r w:rsidR="0B349BAD">
        <w:t xml:space="preserve">they </w:t>
      </w:r>
      <w:r w:rsidR="00680477">
        <w:t xml:space="preserve">disrupt a trajectory of strong and inclusive economic growth, threatening the development gains that were achieved during the last decade. </w:t>
      </w:r>
      <w:r w:rsidR="002104E8">
        <w:t xml:space="preserve">To mitigate the adverse </w:t>
      </w:r>
      <w:r w:rsidR="009A65B7">
        <w:t xml:space="preserve">public health and </w:t>
      </w:r>
      <w:r w:rsidR="002104E8">
        <w:t xml:space="preserve">socio-economic effects of the crisis, the government </w:t>
      </w:r>
      <w:r w:rsidR="00EC116A">
        <w:t xml:space="preserve">adopted </w:t>
      </w:r>
      <w:r w:rsidR="009A65B7">
        <w:t xml:space="preserve">a sizeable </w:t>
      </w:r>
      <w:r w:rsidR="002F4FC0" w:rsidRPr="002F4FC0">
        <w:t xml:space="preserve">countercyclical </w:t>
      </w:r>
      <w:r w:rsidR="009A65B7">
        <w:t xml:space="preserve">expenditure </w:t>
      </w:r>
      <w:r w:rsidR="002F4FC0" w:rsidRPr="002F4FC0">
        <w:t>program</w:t>
      </w:r>
      <w:r w:rsidR="009A65B7">
        <w:t>. The</w:t>
      </w:r>
      <w:r w:rsidR="00680477">
        <w:t xml:space="preserve"> proposed </w:t>
      </w:r>
      <w:r w:rsidR="00922713">
        <w:t xml:space="preserve">CARES </w:t>
      </w:r>
      <w:r w:rsidR="00680477">
        <w:t xml:space="preserve">Program aims to support the government in </w:t>
      </w:r>
      <w:r w:rsidR="00E46A1C">
        <w:t xml:space="preserve">implementing </w:t>
      </w:r>
      <w:r w:rsidR="00680477">
        <w:t xml:space="preserve">its </w:t>
      </w:r>
      <w:r w:rsidR="00E64886">
        <w:t xml:space="preserve">response package </w:t>
      </w:r>
      <w:r w:rsidR="004E68AE">
        <w:t>to</w:t>
      </w:r>
      <w:r w:rsidR="0096412C">
        <w:t xml:space="preserve"> </w:t>
      </w:r>
      <w:r w:rsidR="00680477">
        <w:t xml:space="preserve">protect lives and livelihoods of </w:t>
      </w:r>
      <w:r w:rsidR="00E64886">
        <w:t>Georgians</w:t>
      </w:r>
      <w:r w:rsidR="00E97713">
        <w:t xml:space="preserve">, </w:t>
      </w:r>
      <w:r w:rsidR="00EB346D">
        <w:t xml:space="preserve">especially </w:t>
      </w:r>
      <w:r w:rsidR="00E97713">
        <w:t>the poor and vulnerable segments of the population</w:t>
      </w:r>
      <w:r w:rsidR="006E7C38">
        <w:t>, women</w:t>
      </w:r>
      <w:r w:rsidR="00315DB2">
        <w:t>,</w:t>
      </w:r>
      <w:r w:rsidR="006E7C38">
        <w:t xml:space="preserve"> and children</w:t>
      </w:r>
      <w:r w:rsidR="00776CD0">
        <w:t xml:space="preserve">. </w:t>
      </w:r>
    </w:p>
    <w:p w14:paraId="00096EB1" w14:textId="77777777" w:rsidR="00281FCB" w:rsidRPr="00E0596F" w:rsidRDefault="00281FCB" w:rsidP="00281FCB">
      <w:pPr>
        <w:pStyle w:val="ListParagraph"/>
        <w:ind w:left="0"/>
        <w:jc w:val="both"/>
      </w:pPr>
    </w:p>
    <w:p w14:paraId="11280470" w14:textId="1D1F0145" w:rsidR="008A6AE7" w:rsidRPr="00DF6015" w:rsidRDefault="00DF6015" w:rsidP="0072494A">
      <w:pPr>
        <w:jc w:val="center"/>
        <w:rPr>
          <w:b/>
          <w:bCs/>
        </w:rPr>
      </w:pPr>
      <w:r w:rsidRPr="00DF6015">
        <w:rPr>
          <w:b/>
          <w:bCs/>
        </w:rPr>
        <w:t>Table 1. Compliance with Access Criteria for CPRO</w:t>
      </w:r>
    </w:p>
    <w:tbl>
      <w:tblPr>
        <w:tblW w:w="94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7836"/>
      </w:tblGrid>
      <w:tr w:rsidR="00CD5C86" w:rsidRPr="0020177B" w14:paraId="174DB420" w14:textId="77777777" w:rsidTr="00C15C4C">
        <w:trPr>
          <w:trHeight w:val="42"/>
          <w:tblHeader/>
          <w:jc w:val="center"/>
        </w:trPr>
        <w:tc>
          <w:tcPr>
            <w:tcW w:w="1606" w:type="dxa"/>
            <w:tcBorders>
              <w:top w:val="single" w:sz="6" w:space="0" w:color="auto"/>
              <w:left w:val="single" w:sz="6" w:space="0" w:color="auto"/>
              <w:bottom w:val="single" w:sz="6" w:space="0" w:color="auto"/>
              <w:right w:val="nil"/>
            </w:tcBorders>
            <w:shd w:val="clear" w:color="auto" w:fill="auto"/>
          </w:tcPr>
          <w:p w14:paraId="1348D461" w14:textId="23F74F51" w:rsidR="00CD5C86" w:rsidRPr="00E317E2" w:rsidRDefault="00CD5C86" w:rsidP="00E0625C">
            <w:pPr>
              <w:ind w:left="76" w:right="-6"/>
              <w:jc w:val="center"/>
              <w:textAlignment w:val="baseline"/>
              <w:rPr>
                <w:rFonts w:eastAsia="Times New Roman" w:cs="Arial"/>
                <w:b/>
                <w:color w:val="000000"/>
                <w:sz w:val="18"/>
                <w:szCs w:val="18"/>
              </w:rPr>
            </w:pPr>
            <w:r w:rsidRPr="00E317E2">
              <w:rPr>
                <w:rFonts w:eastAsia="Times New Roman" w:cs="Arial"/>
                <w:b/>
                <w:color w:val="000000"/>
                <w:sz w:val="18"/>
                <w:szCs w:val="18"/>
              </w:rPr>
              <w:t>CPRO Access Criteria</w:t>
            </w:r>
          </w:p>
        </w:tc>
        <w:tc>
          <w:tcPr>
            <w:tcW w:w="7836" w:type="dxa"/>
            <w:tcBorders>
              <w:top w:val="single" w:sz="6" w:space="0" w:color="auto"/>
              <w:left w:val="single" w:sz="6" w:space="0" w:color="auto"/>
              <w:bottom w:val="single" w:sz="6" w:space="0" w:color="auto"/>
              <w:right w:val="single" w:sz="6" w:space="0" w:color="auto"/>
            </w:tcBorders>
            <w:shd w:val="clear" w:color="auto" w:fill="auto"/>
          </w:tcPr>
          <w:p w14:paraId="6C085910" w14:textId="06FC0DB9" w:rsidR="00CD5C86" w:rsidRPr="00E317E2" w:rsidRDefault="00CD5C86" w:rsidP="00AF4DF7">
            <w:pPr>
              <w:tabs>
                <w:tab w:val="left" w:pos="1440"/>
              </w:tabs>
              <w:ind w:left="89" w:right="80"/>
              <w:jc w:val="center"/>
              <w:textAlignment w:val="baseline"/>
              <w:rPr>
                <w:rFonts w:eastAsia="Times New Roman" w:cs="Arial"/>
                <w:b/>
                <w:color w:val="000000"/>
                <w:sz w:val="18"/>
                <w:szCs w:val="18"/>
              </w:rPr>
            </w:pPr>
            <w:r w:rsidRPr="00E317E2">
              <w:rPr>
                <w:rFonts w:eastAsia="Times New Roman" w:cs="Arial"/>
                <w:b/>
                <w:color w:val="000000"/>
                <w:sz w:val="18"/>
                <w:szCs w:val="18"/>
              </w:rPr>
              <w:t>ADB Staff Assessment</w:t>
            </w:r>
          </w:p>
        </w:tc>
      </w:tr>
      <w:tr w:rsidR="00397CFF" w:rsidRPr="0020177B" w14:paraId="2CB86982" w14:textId="77777777" w:rsidTr="00C15C4C">
        <w:trPr>
          <w:trHeight w:val="816"/>
          <w:jc w:val="center"/>
        </w:trPr>
        <w:tc>
          <w:tcPr>
            <w:tcW w:w="1606" w:type="dxa"/>
            <w:tcBorders>
              <w:top w:val="single" w:sz="6" w:space="0" w:color="auto"/>
              <w:left w:val="single" w:sz="6" w:space="0" w:color="auto"/>
              <w:bottom w:val="single" w:sz="6" w:space="0" w:color="auto"/>
              <w:right w:val="nil"/>
            </w:tcBorders>
            <w:shd w:val="clear" w:color="auto" w:fill="auto"/>
            <w:hideMark/>
          </w:tcPr>
          <w:p w14:paraId="1251719B" w14:textId="77777777"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t>1. Adverse Impact of Exogenous Shocks​</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18B32C55" w14:textId="05BD6062" w:rsidR="00397CFF" w:rsidRPr="00E317E2" w:rsidRDefault="003B0B70" w:rsidP="00AF4DF7">
            <w:pPr>
              <w:tabs>
                <w:tab w:val="left" w:pos="1440"/>
              </w:tabs>
              <w:ind w:left="89" w:right="80"/>
              <w:textAlignment w:val="baseline"/>
              <w:rPr>
                <w:rFonts w:eastAsia="Times New Roman" w:cs="Arial"/>
                <w:color w:val="000000"/>
                <w:sz w:val="18"/>
                <w:szCs w:val="18"/>
              </w:rPr>
            </w:pPr>
            <w:r w:rsidRPr="00E317E2">
              <w:rPr>
                <w:rFonts w:eastAsia="Times New Roman" w:cs="Arial"/>
                <w:color w:val="000000"/>
                <w:sz w:val="18"/>
                <w:szCs w:val="18"/>
              </w:rPr>
              <w:t xml:space="preserve">Due to the COVID-19 pandemic, the IMF estimates GDP growth in Georgia to decline to -4% </w:t>
            </w:r>
            <w:r>
              <w:rPr>
                <w:rFonts w:eastAsia="Times New Roman" w:cs="Arial"/>
                <w:color w:val="000000"/>
                <w:sz w:val="18"/>
                <w:szCs w:val="18"/>
              </w:rPr>
              <w:t xml:space="preserve">in 2020 </w:t>
            </w:r>
            <w:r w:rsidRPr="00E317E2">
              <w:rPr>
                <w:rFonts w:eastAsia="Times New Roman" w:cs="Arial"/>
                <w:color w:val="000000"/>
                <w:sz w:val="18"/>
                <w:szCs w:val="18"/>
              </w:rPr>
              <w:t xml:space="preserve">against the original estimate of 4.3%, amounting to a $3.6 billion loss in economic output. </w:t>
            </w:r>
            <w:r w:rsidR="000879B3" w:rsidRPr="00E317E2">
              <w:rPr>
                <w:rFonts w:eastAsia="Times New Roman" w:cs="Arial"/>
                <w:color w:val="000000"/>
                <w:sz w:val="18"/>
                <w:szCs w:val="18"/>
              </w:rPr>
              <w:t xml:space="preserve">Economic slowdown, led by a contraction in domestic demand and investment as well as sharp contraction in the tourism sector, foreign direct investments, trade, and remittances, is threatening the development gains Georgia achieved over the last decade. </w:t>
            </w:r>
            <w:r>
              <w:rPr>
                <w:rFonts w:eastAsia="Times New Roman" w:cs="Arial"/>
                <w:color w:val="000000"/>
                <w:sz w:val="18"/>
                <w:szCs w:val="18"/>
              </w:rPr>
              <w:t>The number of unemployed</w:t>
            </w:r>
            <w:r w:rsidRPr="00E317E2">
              <w:rPr>
                <w:rFonts w:eastAsia="Times New Roman" w:cs="Arial"/>
                <w:color w:val="000000"/>
                <w:sz w:val="18"/>
                <w:szCs w:val="18"/>
              </w:rPr>
              <w:t xml:space="preserve"> </w:t>
            </w:r>
            <w:r>
              <w:rPr>
                <w:rFonts w:eastAsia="Times New Roman" w:cs="Arial"/>
                <w:color w:val="000000"/>
                <w:sz w:val="18"/>
                <w:szCs w:val="18"/>
              </w:rPr>
              <w:t>people</w:t>
            </w:r>
            <w:r w:rsidRPr="00E317E2">
              <w:rPr>
                <w:rFonts w:eastAsia="Times New Roman" w:cs="Arial"/>
                <w:color w:val="000000"/>
                <w:sz w:val="18"/>
                <w:szCs w:val="18"/>
              </w:rPr>
              <w:t xml:space="preserve"> could </w:t>
            </w:r>
            <w:r>
              <w:rPr>
                <w:rFonts w:eastAsia="Times New Roman" w:cs="Arial"/>
                <w:color w:val="000000"/>
                <w:sz w:val="18"/>
                <w:szCs w:val="18"/>
              </w:rPr>
              <w:t>triple which, in addition to an expected increase in loss of income by those in the informal sector</w:t>
            </w:r>
            <w:r w:rsidRPr="00E317E2">
              <w:rPr>
                <w:rFonts w:eastAsia="Times New Roman" w:cs="Arial"/>
                <w:color w:val="000000"/>
                <w:sz w:val="18"/>
                <w:szCs w:val="18"/>
              </w:rPr>
              <w:t xml:space="preserve">, </w:t>
            </w:r>
            <w:r>
              <w:rPr>
                <w:rFonts w:eastAsia="Times New Roman" w:cs="Arial"/>
                <w:color w:val="000000"/>
                <w:sz w:val="18"/>
                <w:szCs w:val="18"/>
              </w:rPr>
              <w:t>would significantly threaten</w:t>
            </w:r>
            <w:r w:rsidRPr="00E317E2">
              <w:rPr>
                <w:rFonts w:eastAsia="Times New Roman" w:cs="Arial"/>
                <w:color w:val="000000"/>
                <w:sz w:val="18"/>
                <w:szCs w:val="18"/>
              </w:rPr>
              <w:t xml:space="preserve"> the livelihoods of 4</w:t>
            </w:r>
            <w:r w:rsidR="002B5453">
              <w:rPr>
                <w:rFonts w:eastAsia="Times New Roman" w:cs="Arial"/>
                <w:color w:val="000000"/>
                <w:sz w:val="18"/>
                <w:szCs w:val="18"/>
              </w:rPr>
              <w:t>7</w:t>
            </w:r>
            <w:r w:rsidRPr="00E317E2">
              <w:rPr>
                <w:rFonts w:eastAsia="Times New Roman" w:cs="Arial"/>
                <w:color w:val="000000"/>
                <w:sz w:val="18"/>
                <w:szCs w:val="18"/>
              </w:rPr>
              <w:t>% of Georgians which are currently considered vulnerable to poverty. A protracted crisis is limiting the fiscal space needed to mitigate health and economic impacts. A decline of 23.3% in revenue collection against the original estimate for 2020</w:t>
            </w:r>
            <w:r>
              <w:rPr>
                <w:rFonts w:eastAsia="Times New Roman" w:cs="Arial"/>
                <w:color w:val="000000"/>
                <w:sz w:val="18"/>
                <w:szCs w:val="18"/>
              </w:rPr>
              <w:t xml:space="preserve"> - led by a reduction of 1.6% in the tax-to-GDP ratio </w:t>
            </w:r>
            <w:r w:rsidR="00244941">
              <w:rPr>
                <w:rFonts w:eastAsia="Times New Roman" w:cs="Arial"/>
                <w:color w:val="000000"/>
                <w:sz w:val="18"/>
                <w:szCs w:val="18"/>
              </w:rPr>
              <w:t>-</w:t>
            </w:r>
            <w:r>
              <w:rPr>
                <w:rFonts w:eastAsia="Times New Roman" w:cs="Arial"/>
                <w:color w:val="000000"/>
                <w:sz w:val="18"/>
                <w:szCs w:val="18"/>
              </w:rPr>
              <w:t xml:space="preserve"> </w:t>
            </w:r>
            <w:r w:rsidR="0026476B">
              <w:rPr>
                <w:rFonts w:eastAsia="Times New Roman" w:cs="Arial"/>
                <w:color w:val="000000"/>
                <w:sz w:val="18"/>
                <w:szCs w:val="18"/>
              </w:rPr>
              <w:t xml:space="preserve">combined with increased expenditure under the </w:t>
            </w:r>
            <w:r w:rsidR="00B873B8">
              <w:rPr>
                <w:rFonts w:eastAsia="Times New Roman" w:cs="Arial"/>
                <w:color w:val="000000"/>
                <w:sz w:val="18"/>
                <w:szCs w:val="18"/>
              </w:rPr>
              <w:t>g</w:t>
            </w:r>
            <w:r w:rsidR="0026476B">
              <w:rPr>
                <w:rFonts w:eastAsia="Times New Roman" w:cs="Arial"/>
                <w:color w:val="000000"/>
                <w:sz w:val="18"/>
                <w:szCs w:val="18"/>
              </w:rPr>
              <w:t>overnment’s Anti</w:t>
            </w:r>
            <w:r w:rsidR="008C3E33">
              <w:rPr>
                <w:rFonts w:eastAsia="Times New Roman" w:cs="Arial"/>
                <w:color w:val="000000"/>
                <w:sz w:val="18"/>
                <w:szCs w:val="18"/>
              </w:rPr>
              <w:t>-</w:t>
            </w:r>
            <w:r w:rsidR="0026476B">
              <w:rPr>
                <w:rFonts w:eastAsia="Times New Roman" w:cs="Arial"/>
                <w:color w:val="000000"/>
                <w:sz w:val="18"/>
                <w:szCs w:val="18"/>
              </w:rPr>
              <w:t xml:space="preserve">Crisis Plan </w:t>
            </w:r>
            <w:r w:rsidRPr="00E317E2">
              <w:rPr>
                <w:rFonts w:eastAsia="Times New Roman" w:cs="Arial"/>
                <w:color w:val="000000"/>
                <w:sz w:val="18"/>
                <w:szCs w:val="18"/>
              </w:rPr>
              <w:t xml:space="preserve">will widen the fiscal deficit to 8.1% against the original estimate of 2.2% of GDP. </w:t>
            </w:r>
          </w:p>
        </w:tc>
      </w:tr>
      <w:tr w:rsidR="00397CFF" w:rsidRPr="0020177B" w14:paraId="35572ACF" w14:textId="77777777" w:rsidTr="00C15C4C">
        <w:trPr>
          <w:trHeight w:val="411"/>
          <w:jc w:val="center"/>
        </w:trPr>
        <w:tc>
          <w:tcPr>
            <w:tcW w:w="1606" w:type="dxa"/>
            <w:tcBorders>
              <w:top w:val="single" w:sz="6" w:space="0" w:color="auto"/>
              <w:left w:val="single" w:sz="6" w:space="0" w:color="auto"/>
              <w:bottom w:val="single" w:sz="6" w:space="0" w:color="auto"/>
              <w:right w:val="nil"/>
            </w:tcBorders>
            <w:shd w:val="clear" w:color="auto" w:fill="auto"/>
            <w:hideMark/>
          </w:tcPr>
          <w:p w14:paraId="39B475A5" w14:textId="15FE4491"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t xml:space="preserve">2.Countercyclical </w:t>
            </w:r>
            <w:r w:rsidR="00BA711B" w:rsidRPr="00857654">
              <w:rPr>
                <w:rFonts w:eastAsia="Times New Roman" w:cs="Arial"/>
                <w:bCs/>
                <w:color w:val="000000"/>
                <w:sz w:val="18"/>
                <w:szCs w:val="18"/>
              </w:rPr>
              <w:t>development expenditures</w:t>
            </w:r>
            <w:r w:rsidRPr="00857654">
              <w:rPr>
                <w:rFonts w:eastAsia="Times New Roman" w:cs="Arial"/>
                <w:bCs/>
                <w:color w:val="000000"/>
                <w:sz w:val="18"/>
                <w:szCs w:val="18"/>
              </w:rPr>
              <w:t xml:space="preserve"> ​</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1B7D69F9" w14:textId="23FD38FD" w:rsidR="00397CFF" w:rsidRPr="00857654" w:rsidRDefault="009F6B04" w:rsidP="00AF4DF7">
            <w:pPr>
              <w:tabs>
                <w:tab w:val="left" w:pos="1440"/>
              </w:tabs>
              <w:ind w:left="89" w:right="80"/>
              <w:textAlignment w:val="baseline"/>
              <w:rPr>
                <w:rFonts w:eastAsia="Times New Roman" w:cs="Arial"/>
                <w:bCs/>
                <w:color w:val="000000"/>
                <w:sz w:val="18"/>
                <w:szCs w:val="18"/>
              </w:rPr>
            </w:pPr>
            <w:r w:rsidRPr="00857654">
              <w:rPr>
                <w:rFonts w:eastAsia="Times New Roman" w:cs="Arial"/>
                <w:bCs/>
                <w:color w:val="000000"/>
                <w:sz w:val="18"/>
                <w:szCs w:val="18"/>
              </w:rPr>
              <w:t>The government announced a GEL3.5 billion ($1.1 billion)</w:t>
            </w:r>
            <w:r>
              <w:rPr>
                <w:rFonts w:eastAsia="Times New Roman" w:cs="Arial"/>
                <w:bCs/>
                <w:color w:val="000000"/>
                <w:sz w:val="18"/>
                <w:szCs w:val="18"/>
              </w:rPr>
              <w:t xml:space="preserve"> plan</w:t>
            </w:r>
            <w:r w:rsidRPr="00857654">
              <w:rPr>
                <w:rFonts w:eastAsia="Times New Roman" w:cs="Arial"/>
                <w:bCs/>
                <w:color w:val="000000"/>
                <w:sz w:val="18"/>
                <w:szCs w:val="18"/>
              </w:rPr>
              <w:t xml:space="preserve">, to cover higher spending in the health sector, provide assistance to affected private sector entities, and support the unemployed, poor and vulnerable with a GEL1.035 billion ($329 million) social assistance package. The total expenditure package amounts to 7.4% of GDP, one of the highest in the region. The government has also adopted a range of countercyclical monetary policy measures for price stability and adequate liquidity in the financial system.  </w:t>
            </w:r>
          </w:p>
        </w:tc>
      </w:tr>
      <w:tr w:rsidR="00397CFF" w:rsidRPr="0020177B" w14:paraId="76629BD9" w14:textId="77777777" w:rsidTr="00C15C4C">
        <w:trPr>
          <w:trHeight w:val="1182"/>
          <w:jc w:val="center"/>
        </w:trPr>
        <w:tc>
          <w:tcPr>
            <w:tcW w:w="1606" w:type="dxa"/>
            <w:tcBorders>
              <w:top w:val="single" w:sz="6" w:space="0" w:color="auto"/>
              <w:left w:val="single" w:sz="6" w:space="0" w:color="auto"/>
              <w:bottom w:val="single" w:sz="6" w:space="0" w:color="auto"/>
              <w:right w:val="nil"/>
            </w:tcBorders>
            <w:shd w:val="clear" w:color="auto" w:fill="auto"/>
            <w:hideMark/>
          </w:tcPr>
          <w:p w14:paraId="6C120743" w14:textId="397F3F0D"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t xml:space="preserve">3. Pre-shock Record of </w:t>
            </w:r>
            <w:r w:rsidR="00BA711B" w:rsidRPr="00857654">
              <w:rPr>
                <w:rFonts w:eastAsia="Times New Roman" w:cs="Arial"/>
                <w:bCs/>
                <w:color w:val="000000"/>
                <w:sz w:val="18"/>
                <w:szCs w:val="18"/>
              </w:rPr>
              <w:t>s</w:t>
            </w:r>
            <w:r w:rsidRPr="00857654">
              <w:rPr>
                <w:rFonts w:eastAsia="Times New Roman" w:cs="Arial"/>
                <w:bCs/>
                <w:color w:val="000000"/>
                <w:sz w:val="18"/>
                <w:szCs w:val="18"/>
              </w:rPr>
              <w:t xml:space="preserve">ound </w:t>
            </w:r>
            <w:r w:rsidR="00BA711B" w:rsidRPr="00857654">
              <w:rPr>
                <w:rFonts w:eastAsia="Times New Roman" w:cs="Arial"/>
                <w:bCs/>
                <w:color w:val="000000"/>
                <w:sz w:val="18"/>
                <w:szCs w:val="18"/>
              </w:rPr>
              <w:t>m</w:t>
            </w:r>
            <w:r w:rsidRPr="00857654">
              <w:rPr>
                <w:rFonts w:eastAsia="Times New Roman" w:cs="Arial"/>
                <w:bCs/>
                <w:color w:val="000000"/>
                <w:sz w:val="18"/>
                <w:szCs w:val="18"/>
              </w:rPr>
              <w:t>acroeconomic Management​</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3117BAB6" w14:textId="7EFF4E01" w:rsidR="00397CFF" w:rsidRPr="00857654" w:rsidRDefault="000C6537" w:rsidP="00AF4DF7">
            <w:pPr>
              <w:tabs>
                <w:tab w:val="left" w:pos="1440"/>
              </w:tabs>
              <w:ind w:left="89" w:right="80"/>
              <w:textAlignment w:val="baseline"/>
              <w:rPr>
                <w:rFonts w:eastAsia="Times New Roman" w:cs="Arial"/>
                <w:bCs/>
                <w:color w:val="000000"/>
                <w:sz w:val="18"/>
                <w:szCs w:val="18"/>
              </w:rPr>
            </w:pPr>
            <w:r w:rsidRPr="00857654">
              <w:rPr>
                <w:rFonts w:eastAsia="Times New Roman" w:cs="Arial"/>
                <w:bCs/>
                <w:color w:val="000000"/>
                <w:sz w:val="18"/>
                <w:szCs w:val="18"/>
              </w:rPr>
              <w:t xml:space="preserve">Prior to the COVID-19 pandemic, </w:t>
            </w:r>
            <w:r w:rsidR="00432C97" w:rsidRPr="00857654">
              <w:rPr>
                <w:rFonts w:eastAsia="Times New Roman" w:cs="Arial"/>
                <w:bCs/>
                <w:color w:val="000000"/>
                <w:sz w:val="18"/>
                <w:szCs w:val="18"/>
              </w:rPr>
              <w:t xml:space="preserve">Georgia’s economy expanded at an average of </w:t>
            </w:r>
            <w:r w:rsidR="00077215" w:rsidRPr="00857654">
              <w:rPr>
                <w:rFonts w:eastAsia="Times New Roman" w:cs="Arial"/>
                <w:bCs/>
                <w:color w:val="000000"/>
                <w:sz w:val="18"/>
                <w:szCs w:val="18"/>
              </w:rPr>
              <w:t xml:space="preserve">4.7% </w:t>
            </w:r>
            <w:r w:rsidR="0088145C" w:rsidRPr="00857654">
              <w:rPr>
                <w:rFonts w:eastAsia="Times New Roman" w:cs="Arial"/>
                <w:bCs/>
                <w:color w:val="000000"/>
                <w:sz w:val="18"/>
                <w:szCs w:val="18"/>
              </w:rPr>
              <w:t>between 2011</w:t>
            </w:r>
            <w:r w:rsidR="00C91284" w:rsidRPr="00857654">
              <w:rPr>
                <w:rFonts w:eastAsia="Times New Roman" w:cs="Arial"/>
                <w:bCs/>
                <w:color w:val="000000"/>
                <w:sz w:val="18"/>
                <w:szCs w:val="18"/>
              </w:rPr>
              <w:t>–</w:t>
            </w:r>
            <w:r w:rsidR="0088145C" w:rsidRPr="00857654">
              <w:rPr>
                <w:rFonts w:eastAsia="Times New Roman" w:cs="Arial"/>
                <w:bCs/>
                <w:color w:val="000000"/>
                <w:sz w:val="18"/>
                <w:szCs w:val="18"/>
              </w:rPr>
              <w:t>2019</w:t>
            </w:r>
            <w:r w:rsidR="00515955" w:rsidRPr="00857654">
              <w:rPr>
                <w:rFonts w:eastAsia="Times New Roman" w:cs="Arial"/>
                <w:bCs/>
                <w:color w:val="000000"/>
                <w:sz w:val="18"/>
                <w:szCs w:val="18"/>
              </w:rPr>
              <w:t xml:space="preserve"> and was expected to grow by 4.3% in 2020. </w:t>
            </w:r>
            <w:r w:rsidR="009202A1">
              <w:rPr>
                <w:rFonts w:eastAsia="Times New Roman" w:cs="Arial"/>
                <w:bCs/>
                <w:color w:val="000000"/>
                <w:sz w:val="18"/>
                <w:szCs w:val="18"/>
              </w:rPr>
              <w:t>Public debt-to-GDP</w:t>
            </w:r>
            <w:r w:rsidR="00EB7999">
              <w:rPr>
                <w:rFonts w:eastAsia="Times New Roman" w:cs="Arial"/>
                <w:bCs/>
                <w:color w:val="000000"/>
                <w:sz w:val="18"/>
                <w:szCs w:val="18"/>
              </w:rPr>
              <w:t xml:space="preserve">, the fiscal deficit and total expenditure as a share of GDP were all expected to remain below their maximum ceilings, </w:t>
            </w:r>
            <w:r w:rsidR="00FA5C20">
              <w:rPr>
                <w:rFonts w:eastAsia="Times New Roman" w:cs="Arial"/>
                <w:bCs/>
                <w:color w:val="000000"/>
                <w:sz w:val="18"/>
                <w:szCs w:val="18"/>
              </w:rPr>
              <w:t xml:space="preserve">at </w:t>
            </w:r>
            <w:r w:rsidR="009202A1">
              <w:rPr>
                <w:rFonts w:eastAsia="Times New Roman" w:cs="Arial"/>
                <w:bCs/>
                <w:color w:val="000000"/>
                <w:sz w:val="18"/>
                <w:szCs w:val="18"/>
              </w:rPr>
              <w:t>4</w:t>
            </w:r>
            <w:r w:rsidR="00292265">
              <w:rPr>
                <w:rFonts w:eastAsia="Times New Roman" w:cs="Arial"/>
                <w:bCs/>
                <w:color w:val="000000"/>
                <w:sz w:val="18"/>
                <w:szCs w:val="18"/>
              </w:rPr>
              <w:t>4.5</w:t>
            </w:r>
            <w:r w:rsidR="009202A1">
              <w:rPr>
                <w:rFonts w:eastAsia="Times New Roman" w:cs="Arial"/>
                <w:bCs/>
                <w:color w:val="000000"/>
                <w:sz w:val="18"/>
                <w:szCs w:val="18"/>
              </w:rPr>
              <w:t>%</w:t>
            </w:r>
            <w:r w:rsidR="00FA5C20">
              <w:rPr>
                <w:rFonts w:eastAsia="Times New Roman" w:cs="Arial"/>
                <w:bCs/>
                <w:color w:val="000000"/>
                <w:sz w:val="18"/>
                <w:szCs w:val="18"/>
              </w:rPr>
              <w:t xml:space="preserve">, 2.2% and </w:t>
            </w:r>
            <w:r w:rsidR="00BF00E7">
              <w:rPr>
                <w:rFonts w:eastAsia="Times New Roman" w:cs="Arial"/>
                <w:bCs/>
                <w:color w:val="000000"/>
                <w:sz w:val="18"/>
                <w:szCs w:val="18"/>
              </w:rPr>
              <w:t>28.3% respectively</w:t>
            </w:r>
            <w:r w:rsidR="00D2276F">
              <w:rPr>
                <w:rFonts w:eastAsia="Times New Roman" w:cs="Arial"/>
                <w:bCs/>
                <w:color w:val="000000"/>
                <w:sz w:val="18"/>
                <w:szCs w:val="18"/>
              </w:rPr>
              <w:t>.</w:t>
            </w:r>
            <w:r w:rsidR="00EA33AF">
              <w:rPr>
                <w:rFonts w:eastAsia="Times New Roman" w:cs="Arial"/>
                <w:bCs/>
                <w:color w:val="000000"/>
                <w:sz w:val="18"/>
                <w:szCs w:val="18"/>
              </w:rPr>
              <w:t xml:space="preserve"> </w:t>
            </w:r>
            <w:r w:rsidR="00181EC0" w:rsidRPr="00857654">
              <w:rPr>
                <w:rFonts w:eastAsia="Times New Roman" w:cs="Arial"/>
                <w:bCs/>
                <w:color w:val="000000"/>
                <w:sz w:val="18"/>
                <w:szCs w:val="18"/>
              </w:rPr>
              <w:t>Reforms to tax administration</w:t>
            </w:r>
            <w:r w:rsidR="00A3082A" w:rsidRPr="00857654">
              <w:rPr>
                <w:rFonts w:eastAsia="Times New Roman" w:cs="Arial"/>
                <w:bCs/>
                <w:color w:val="000000"/>
                <w:sz w:val="18"/>
                <w:szCs w:val="18"/>
              </w:rPr>
              <w:t xml:space="preserve"> </w:t>
            </w:r>
            <w:r w:rsidR="002C5F26">
              <w:rPr>
                <w:rFonts w:eastAsia="Times New Roman" w:cs="Arial"/>
                <w:bCs/>
                <w:color w:val="000000"/>
                <w:sz w:val="18"/>
                <w:szCs w:val="18"/>
              </w:rPr>
              <w:t>l</w:t>
            </w:r>
            <w:r w:rsidR="00181EC0" w:rsidRPr="00857654">
              <w:rPr>
                <w:rFonts w:eastAsia="Times New Roman" w:cs="Arial"/>
                <w:bCs/>
                <w:color w:val="000000"/>
                <w:sz w:val="18"/>
                <w:szCs w:val="18"/>
              </w:rPr>
              <w:t xml:space="preserve">ed to a higher-than-anticipated </w:t>
            </w:r>
            <w:r w:rsidR="00B76465">
              <w:rPr>
                <w:rFonts w:eastAsia="Times New Roman" w:cs="Arial"/>
                <w:bCs/>
                <w:color w:val="000000"/>
                <w:sz w:val="18"/>
                <w:szCs w:val="18"/>
              </w:rPr>
              <w:t xml:space="preserve">tax </w:t>
            </w:r>
            <w:r w:rsidR="00181EC0" w:rsidRPr="00857654">
              <w:rPr>
                <w:rFonts w:eastAsia="Times New Roman" w:cs="Arial"/>
                <w:bCs/>
                <w:color w:val="000000"/>
                <w:sz w:val="18"/>
                <w:szCs w:val="18"/>
              </w:rPr>
              <w:t>revenue collection</w:t>
            </w:r>
            <w:r w:rsidR="006F2E30" w:rsidRPr="00857654">
              <w:rPr>
                <w:rFonts w:eastAsia="Times New Roman" w:cs="Arial"/>
                <w:bCs/>
                <w:color w:val="000000"/>
                <w:sz w:val="18"/>
                <w:szCs w:val="18"/>
              </w:rPr>
              <w:t>, reaching 2</w:t>
            </w:r>
            <w:r w:rsidR="00B76465">
              <w:rPr>
                <w:rFonts w:eastAsia="Times New Roman" w:cs="Arial"/>
                <w:bCs/>
                <w:color w:val="000000"/>
                <w:sz w:val="18"/>
                <w:szCs w:val="18"/>
              </w:rPr>
              <w:t>3.7</w:t>
            </w:r>
            <w:r w:rsidR="006F2E30" w:rsidRPr="00857654">
              <w:rPr>
                <w:rFonts w:eastAsia="Times New Roman" w:cs="Arial"/>
                <w:bCs/>
                <w:color w:val="000000"/>
                <w:sz w:val="18"/>
                <w:szCs w:val="18"/>
              </w:rPr>
              <w:t>%</w:t>
            </w:r>
            <w:r w:rsidR="00B76465">
              <w:rPr>
                <w:rFonts w:eastAsia="Times New Roman" w:cs="Arial"/>
                <w:bCs/>
                <w:color w:val="000000"/>
                <w:sz w:val="18"/>
                <w:szCs w:val="18"/>
              </w:rPr>
              <w:t xml:space="preserve"> of GDP</w:t>
            </w:r>
            <w:r w:rsidR="006F2E30" w:rsidRPr="00857654">
              <w:rPr>
                <w:rFonts w:eastAsia="Times New Roman" w:cs="Arial"/>
                <w:bCs/>
                <w:color w:val="000000"/>
                <w:sz w:val="18"/>
                <w:szCs w:val="18"/>
              </w:rPr>
              <w:t xml:space="preserve"> in 2019. </w:t>
            </w:r>
            <w:r w:rsidR="0019568F">
              <w:rPr>
                <w:rFonts w:eastAsia="Times New Roman" w:cs="Arial"/>
                <w:bCs/>
                <w:color w:val="000000"/>
                <w:sz w:val="18"/>
                <w:szCs w:val="18"/>
              </w:rPr>
              <w:t>The only significant risk faced by the authorities prior to COVID-19 stemmed from inflationary pressures, which the</w:t>
            </w:r>
            <w:r w:rsidR="00EC7847" w:rsidRPr="00857654">
              <w:rPr>
                <w:rFonts w:eastAsia="Times New Roman" w:cs="Arial"/>
                <w:bCs/>
                <w:color w:val="000000"/>
                <w:sz w:val="18"/>
                <w:szCs w:val="18"/>
              </w:rPr>
              <w:t xml:space="preserve"> </w:t>
            </w:r>
            <w:r w:rsidR="00E056E7" w:rsidRPr="00857654">
              <w:rPr>
                <w:rFonts w:eastAsia="Times New Roman" w:cs="Arial"/>
                <w:bCs/>
                <w:color w:val="000000"/>
                <w:sz w:val="18"/>
                <w:szCs w:val="18"/>
              </w:rPr>
              <w:t xml:space="preserve">National </w:t>
            </w:r>
            <w:r w:rsidR="00397007" w:rsidRPr="00857654">
              <w:rPr>
                <w:rFonts w:eastAsia="Times New Roman" w:cs="Arial"/>
                <w:bCs/>
                <w:color w:val="000000"/>
                <w:sz w:val="18"/>
                <w:szCs w:val="18"/>
              </w:rPr>
              <w:t>B</w:t>
            </w:r>
            <w:r w:rsidR="00E056E7" w:rsidRPr="00857654">
              <w:rPr>
                <w:rFonts w:eastAsia="Times New Roman" w:cs="Arial"/>
                <w:bCs/>
                <w:color w:val="000000"/>
                <w:sz w:val="18"/>
                <w:szCs w:val="18"/>
              </w:rPr>
              <w:t>ank of Georgia</w:t>
            </w:r>
            <w:r w:rsidR="00EC7847" w:rsidRPr="00857654">
              <w:rPr>
                <w:rFonts w:eastAsia="Times New Roman" w:cs="Arial"/>
                <w:bCs/>
                <w:color w:val="000000"/>
                <w:sz w:val="18"/>
                <w:szCs w:val="18"/>
              </w:rPr>
              <w:t xml:space="preserve"> </w:t>
            </w:r>
            <w:r w:rsidR="0019568F">
              <w:rPr>
                <w:rFonts w:eastAsia="Times New Roman" w:cs="Arial"/>
                <w:bCs/>
                <w:color w:val="000000"/>
                <w:sz w:val="18"/>
                <w:szCs w:val="18"/>
              </w:rPr>
              <w:t xml:space="preserve">targeted </w:t>
            </w:r>
            <w:r w:rsidR="000F7DEA" w:rsidRPr="00857654">
              <w:rPr>
                <w:rFonts w:eastAsia="Times New Roman" w:cs="Arial"/>
                <w:bCs/>
                <w:color w:val="000000"/>
                <w:sz w:val="18"/>
                <w:szCs w:val="18"/>
              </w:rPr>
              <w:t>appropriately</w:t>
            </w:r>
            <w:r w:rsidR="0019568F">
              <w:rPr>
                <w:rFonts w:eastAsia="Times New Roman" w:cs="Arial"/>
                <w:bCs/>
                <w:color w:val="000000"/>
                <w:sz w:val="18"/>
                <w:szCs w:val="18"/>
              </w:rPr>
              <w:t xml:space="preserve"> through</w:t>
            </w:r>
            <w:r w:rsidR="000F7DEA" w:rsidRPr="00857654">
              <w:rPr>
                <w:rFonts w:eastAsia="Times New Roman" w:cs="Arial"/>
                <w:bCs/>
                <w:color w:val="000000"/>
                <w:sz w:val="18"/>
                <w:szCs w:val="18"/>
              </w:rPr>
              <w:t xml:space="preserve"> tightened monetary policy.</w:t>
            </w:r>
            <w:r w:rsidR="00760ACA" w:rsidRPr="00857654">
              <w:rPr>
                <w:rFonts w:eastAsia="Times New Roman" w:cs="Arial"/>
                <w:bCs/>
                <w:color w:val="000000"/>
                <w:sz w:val="18"/>
                <w:szCs w:val="18"/>
              </w:rPr>
              <w:t xml:space="preserve"> </w:t>
            </w:r>
            <w:r w:rsidR="0019568F" w:rsidRPr="0019568F">
              <w:rPr>
                <w:rFonts w:eastAsia="Times New Roman" w:cs="Arial"/>
                <w:bCs/>
                <w:color w:val="000000"/>
                <w:sz w:val="18"/>
                <w:szCs w:val="18"/>
              </w:rPr>
              <w:t>The banking sector’s performance was</w:t>
            </w:r>
            <w:r w:rsidR="0019568F">
              <w:rPr>
                <w:rFonts w:eastAsia="Times New Roman" w:cs="Arial"/>
                <w:bCs/>
                <w:color w:val="000000"/>
                <w:sz w:val="18"/>
                <w:szCs w:val="18"/>
              </w:rPr>
              <w:t xml:space="preserve"> also</w:t>
            </w:r>
            <w:r w:rsidR="0019568F" w:rsidRPr="0019568F">
              <w:rPr>
                <w:rFonts w:eastAsia="Times New Roman" w:cs="Arial"/>
                <w:bCs/>
                <w:color w:val="000000"/>
                <w:sz w:val="18"/>
                <w:szCs w:val="18"/>
              </w:rPr>
              <w:t xml:space="preserve"> expected to remain robust, with an increase in credit to the private sector, improved asset quality and higher liquidity despite marginally lower profitability</w:t>
            </w:r>
            <w:r w:rsidR="0019568F">
              <w:rPr>
                <w:rFonts w:eastAsia="Times New Roman" w:cs="Arial"/>
                <w:bCs/>
                <w:color w:val="000000"/>
                <w:sz w:val="18"/>
                <w:szCs w:val="18"/>
              </w:rPr>
              <w:t>. The IMF’s favorable assessment letter confirm ADB staff’s assessment that the</w:t>
            </w:r>
            <w:r w:rsidR="003F35FA">
              <w:rPr>
                <w:rFonts w:eastAsia="Times New Roman" w:cs="Arial"/>
                <w:bCs/>
                <w:color w:val="000000"/>
                <w:sz w:val="18"/>
                <w:szCs w:val="18"/>
              </w:rPr>
              <w:t xml:space="preserve"> economic</w:t>
            </w:r>
            <w:r w:rsidR="0019568F">
              <w:rPr>
                <w:rFonts w:eastAsia="Times New Roman" w:cs="Arial"/>
                <w:bCs/>
                <w:color w:val="000000"/>
                <w:sz w:val="18"/>
                <w:szCs w:val="18"/>
              </w:rPr>
              <w:t xml:space="preserve"> downturn is due to the </w:t>
            </w:r>
            <w:r w:rsidR="003F35FA">
              <w:rPr>
                <w:rFonts w:eastAsia="Times New Roman" w:cs="Arial"/>
                <w:bCs/>
                <w:color w:val="000000"/>
                <w:sz w:val="18"/>
                <w:szCs w:val="18"/>
              </w:rPr>
              <w:t>C</w:t>
            </w:r>
            <w:r w:rsidR="0019568F">
              <w:rPr>
                <w:rFonts w:eastAsia="Times New Roman" w:cs="Arial"/>
                <w:bCs/>
                <w:color w:val="000000"/>
                <w:sz w:val="18"/>
                <w:szCs w:val="18"/>
              </w:rPr>
              <w:t xml:space="preserve">OVID-19 pandemic, not to previous macroeconomic mismanagement. </w:t>
            </w:r>
          </w:p>
        </w:tc>
      </w:tr>
      <w:tr w:rsidR="00397CFF" w:rsidRPr="0020177B" w14:paraId="788F66C0" w14:textId="77777777" w:rsidTr="00C15C4C">
        <w:trPr>
          <w:trHeight w:val="345"/>
          <w:jc w:val="center"/>
        </w:trPr>
        <w:tc>
          <w:tcPr>
            <w:tcW w:w="1606" w:type="dxa"/>
            <w:tcBorders>
              <w:top w:val="single" w:sz="6" w:space="0" w:color="auto"/>
              <w:left w:val="single" w:sz="6" w:space="0" w:color="auto"/>
              <w:bottom w:val="single" w:sz="6" w:space="0" w:color="auto"/>
              <w:right w:val="nil"/>
            </w:tcBorders>
            <w:shd w:val="clear" w:color="auto" w:fill="auto"/>
            <w:hideMark/>
          </w:tcPr>
          <w:p w14:paraId="4001DBD4" w14:textId="247B9FB3"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t xml:space="preserve">4. </w:t>
            </w:r>
            <w:r w:rsidR="00962B3A" w:rsidRPr="00857654">
              <w:rPr>
                <w:rFonts w:eastAsia="Times New Roman" w:cs="Arial"/>
                <w:bCs/>
                <w:color w:val="000000"/>
                <w:sz w:val="18"/>
                <w:szCs w:val="18"/>
              </w:rPr>
              <w:t xml:space="preserve">Structural </w:t>
            </w:r>
            <w:r w:rsidR="00F54E74" w:rsidRPr="00857654">
              <w:rPr>
                <w:rFonts w:eastAsia="Times New Roman" w:cs="Arial"/>
                <w:bCs/>
                <w:color w:val="000000"/>
                <w:sz w:val="18"/>
                <w:szCs w:val="18"/>
              </w:rPr>
              <w:t>r</w:t>
            </w:r>
            <w:r w:rsidR="00962B3A" w:rsidRPr="00857654">
              <w:rPr>
                <w:rFonts w:eastAsia="Times New Roman" w:cs="Arial"/>
                <w:bCs/>
                <w:color w:val="000000"/>
                <w:sz w:val="18"/>
                <w:szCs w:val="18"/>
              </w:rPr>
              <w:t>eforms</w:t>
            </w:r>
            <w:r w:rsidRPr="00857654">
              <w:rPr>
                <w:rFonts w:eastAsia="Times New Roman" w:cs="Arial"/>
                <w:bCs/>
                <w:color w:val="000000"/>
                <w:sz w:val="18"/>
                <w:szCs w:val="18"/>
              </w:rPr>
              <w:t>​</w:t>
            </w:r>
            <w:r w:rsidR="00CD57F0" w:rsidRPr="00857654">
              <w:rPr>
                <w:rFonts w:eastAsia="Times New Roman" w:cs="Arial"/>
                <w:bCs/>
                <w:color w:val="000000"/>
                <w:sz w:val="18"/>
                <w:szCs w:val="18"/>
              </w:rPr>
              <w:t xml:space="preserve"> and pandemic response plan</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1D239171" w14:textId="07202D5D" w:rsidR="00397CFF" w:rsidRPr="00857654" w:rsidRDefault="00940947" w:rsidP="00AF4DF7">
            <w:pPr>
              <w:tabs>
                <w:tab w:val="left" w:pos="1440"/>
              </w:tabs>
              <w:ind w:left="89" w:right="80"/>
              <w:textAlignment w:val="baseline"/>
              <w:rPr>
                <w:rFonts w:eastAsia="Times New Roman" w:cs="Arial"/>
                <w:bCs/>
                <w:color w:val="000000"/>
                <w:sz w:val="18"/>
                <w:szCs w:val="18"/>
              </w:rPr>
            </w:pPr>
            <w:r w:rsidRPr="00857654">
              <w:rPr>
                <w:rFonts w:eastAsia="Times New Roman" w:cs="Arial"/>
                <w:bCs/>
                <w:color w:val="000000"/>
                <w:sz w:val="18"/>
                <w:szCs w:val="18"/>
              </w:rPr>
              <w:t xml:space="preserve">Georgia has made credible commitments to continue its ambitious reform path despite the </w:t>
            </w:r>
            <w:r w:rsidR="009A4348">
              <w:rPr>
                <w:rFonts w:eastAsia="Times New Roman" w:cs="Arial"/>
                <w:bCs/>
                <w:color w:val="000000"/>
                <w:sz w:val="18"/>
                <w:szCs w:val="18"/>
              </w:rPr>
              <w:t>COVID-19</w:t>
            </w:r>
            <w:r w:rsidRPr="00857654">
              <w:rPr>
                <w:rFonts w:eastAsia="Times New Roman" w:cs="Arial"/>
                <w:bCs/>
                <w:color w:val="000000"/>
                <w:sz w:val="18"/>
                <w:szCs w:val="18"/>
              </w:rPr>
              <w:t xml:space="preserve"> crisis</w:t>
            </w:r>
            <w:r w:rsidR="00310474" w:rsidRPr="00857654">
              <w:rPr>
                <w:rFonts w:eastAsia="Times New Roman" w:cs="Arial"/>
                <w:bCs/>
                <w:color w:val="000000"/>
                <w:sz w:val="18"/>
                <w:szCs w:val="18"/>
              </w:rPr>
              <w:t xml:space="preserve"> under </w:t>
            </w:r>
            <w:r w:rsidR="00224748" w:rsidRPr="00857654">
              <w:rPr>
                <w:rFonts w:eastAsia="Times New Roman" w:cs="Arial"/>
                <w:bCs/>
                <w:color w:val="000000"/>
                <w:sz w:val="18"/>
                <w:szCs w:val="18"/>
              </w:rPr>
              <w:t>I</w:t>
            </w:r>
            <w:r w:rsidR="00E1459A" w:rsidRPr="00857654">
              <w:rPr>
                <w:rFonts w:eastAsia="Times New Roman" w:cs="Arial"/>
                <w:bCs/>
                <w:color w:val="000000"/>
                <w:sz w:val="18"/>
                <w:szCs w:val="18"/>
              </w:rPr>
              <w:t>nternational Monetary Fund</w:t>
            </w:r>
            <w:r w:rsidR="00961F93" w:rsidRPr="00857654">
              <w:rPr>
                <w:rFonts w:eastAsia="Times New Roman" w:cs="Arial"/>
                <w:bCs/>
                <w:color w:val="000000"/>
                <w:sz w:val="18"/>
                <w:szCs w:val="18"/>
              </w:rPr>
              <w:t xml:space="preserve"> and</w:t>
            </w:r>
            <w:r w:rsidR="00224748" w:rsidRPr="00857654">
              <w:rPr>
                <w:rFonts w:eastAsia="Times New Roman" w:cs="Arial"/>
                <w:bCs/>
                <w:color w:val="000000"/>
                <w:sz w:val="18"/>
                <w:szCs w:val="18"/>
              </w:rPr>
              <w:t xml:space="preserve"> World Bank </w:t>
            </w:r>
            <w:r w:rsidR="001231F7" w:rsidRPr="00857654">
              <w:rPr>
                <w:rFonts w:eastAsia="Times New Roman" w:cs="Arial"/>
                <w:bCs/>
                <w:color w:val="000000"/>
                <w:sz w:val="18"/>
                <w:szCs w:val="18"/>
              </w:rPr>
              <w:t>policy</w:t>
            </w:r>
            <w:r w:rsidR="005367FB" w:rsidRPr="00857654">
              <w:rPr>
                <w:rFonts w:eastAsia="Times New Roman" w:cs="Arial"/>
                <w:bCs/>
                <w:color w:val="000000"/>
                <w:sz w:val="18"/>
                <w:szCs w:val="18"/>
              </w:rPr>
              <w:t xml:space="preserve">-based </w:t>
            </w:r>
            <w:proofErr w:type="spellStart"/>
            <w:r w:rsidR="00581D0E" w:rsidRPr="00857654">
              <w:rPr>
                <w:rFonts w:eastAsia="Times New Roman" w:cs="Arial"/>
                <w:bCs/>
                <w:color w:val="000000"/>
                <w:sz w:val="18"/>
                <w:szCs w:val="18"/>
              </w:rPr>
              <w:t>operations</w:t>
            </w:r>
            <w:r w:rsidR="009A4348">
              <w:rPr>
                <w:rFonts w:eastAsia="Times New Roman" w:cs="Arial"/>
                <w:bCs/>
                <w:color w:val="000000"/>
                <w:sz w:val="18"/>
                <w:szCs w:val="18"/>
                <w:vertAlign w:val="superscript"/>
              </w:rPr>
              <w:t>b</w:t>
            </w:r>
            <w:proofErr w:type="spellEnd"/>
            <w:r w:rsidR="00961F93" w:rsidRPr="00857654">
              <w:rPr>
                <w:rFonts w:eastAsia="Times New Roman" w:cs="Arial"/>
                <w:bCs/>
                <w:color w:val="000000"/>
                <w:sz w:val="18"/>
                <w:szCs w:val="18"/>
              </w:rPr>
              <w:t xml:space="preserve"> and planned </w:t>
            </w:r>
            <w:r w:rsidR="00536A27" w:rsidRPr="00857654">
              <w:rPr>
                <w:rFonts w:eastAsia="Times New Roman" w:cs="Arial"/>
                <w:bCs/>
                <w:color w:val="000000"/>
                <w:sz w:val="18"/>
                <w:szCs w:val="18"/>
              </w:rPr>
              <w:t xml:space="preserve">policy reforms supported by </w:t>
            </w:r>
            <w:proofErr w:type="spellStart"/>
            <w:r w:rsidR="00536A27" w:rsidRPr="00857654">
              <w:rPr>
                <w:rFonts w:eastAsia="Times New Roman" w:cs="Arial"/>
                <w:bCs/>
                <w:color w:val="000000"/>
                <w:sz w:val="18"/>
                <w:szCs w:val="18"/>
              </w:rPr>
              <w:t>ADB</w:t>
            </w:r>
            <w:r w:rsidR="00581D0E" w:rsidRPr="00857654">
              <w:rPr>
                <w:rFonts w:eastAsia="Times New Roman" w:cs="Arial"/>
                <w:bCs/>
                <w:color w:val="000000"/>
                <w:sz w:val="18"/>
                <w:szCs w:val="18"/>
              </w:rPr>
              <w:t>.</w:t>
            </w:r>
            <w:r w:rsidR="009A4348">
              <w:rPr>
                <w:rFonts w:eastAsia="Times New Roman" w:cs="Arial"/>
                <w:bCs/>
                <w:color w:val="000000"/>
                <w:sz w:val="18"/>
                <w:szCs w:val="18"/>
                <w:vertAlign w:val="superscript"/>
              </w:rPr>
              <w:t>c</w:t>
            </w:r>
            <w:proofErr w:type="spellEnd"/>
            <w:r w:rsidR="00581D0E" w:rsidRPr="00857654">
              <w:rPr>
                <w:rFonts w:eastAsia="Times New Roman" w:cs="Arial"/>
                <w:bCs/>
                <w:color w:val="000000"/>
                <w:sz w:val="18"/>
                <w:szCs w:val="18"/>
              </w:rPr>
              <w:t xml:space="preserve"> </w:t>
            </w:r>
            <w:bookmarkStart w:id="4" w:name="_Hlk38865861"/>
            <w:r w:rsidR="00FC3005" w:rsidRPr="00857654">
              <w:rPr>
                <w:rFonts w:eastAsia="Times New Roman" w:cs="Arial"/>
                <w:bCs/>
                <w:color w:val="000000"/>
                <w:sz w:val="18"/>
                <w:szCs w:val="18"/>
              </w:rPr>
              <w:t xml:space="preserve">In response to the crisis, </w:t>
            </w:r>
            <w:r w:rsidR="00CB5625" w:rsidRPr="00857654">
              <w:rPr>
                <w:rFonts w:eastAsia="Times New Roman" w:cs="Arial"/>
                <w:bCs/>
                <w:color w:val="000000"/>
                <w:sz w:val="18"/>
                <w:szCs w:val="18"/>
              </w:rPr>
              <w:t>the government</w:t>
            </w:r>
            <w:r w:rsidR="002671F6" w:rsidRPr="00857654">
              <w:rPr>
                <w:rFonts w:eastAsia="Times New Roman" w:cs="Arial"/>
                <w:bCs/>
                <w:color w:val="000000"/>
                <w:sz w:val="18"/>
                <w:szCs w:val="18"/>
              </w:rPr>
              <w:t xml:space="preserve"> </w:t>
            </w:r>
            <w:r w:rsidR="00406CA9" w:rsidRPr="00857654">
              <w:rPr>
                <w:rFonts w:eastAsia="Times New Roman" w:cs="Arial"/>
                <w:bCs/>
                <w:color w:val="000000"/>
                <w:sz w:val="18"/>
                <w:szCs w:val="18"/>
              </w:rPr>
              <w:t>established</w:t>
            </w:r>
            <w:r w:rsidR="002671F6" w:rsidRPr="00857654">
              <w:rPr>
                <w:rFonts w:eastAsia="Times New Roman" w:cs="Arial"/>
                <w:bCs/>
                <w:color w:val="000000"/>
                <w:sz w:val="18"/>
                <w:szCs w:val="18"/>
              </w:rPr>
              <w:t xml:space="preserve"> an</w:t>
            </w:r>
            <w:r w:rsidR="009E4AFB" w:rsidRPr="00857654">
              <w:rPr>
                <w:rFonts w:eastAsia="Times New Roman" w:cs="Arial"/>
                <w:bCs/>
                <w:color w:val="000000"/>
                <w:sz w:val="18"/>
                <w:szCs w:val="18"/>
              </w:rPr>
              <w:t xml:space="preserve"> </w:t>
            </w:r>
            <w:proofErr w:type="spellStart"/>
            <w:r w:rsidR="0037001B">
              <w:rPr>
                <w:rFonts w:eastAsia="Times New Roman" w:cs="Arial"/>
                <w:bCs/>
                <w:color w:val="000000"/>
                <w:sz w:val="18"/>
                <w:szCs w:val="18"/>
              </w:rPr>
              <w:t>Inter Agency</w:t>
            </w:r>
            <w:proofErr w:type="spellEnd"/>
            <w:r w:rsidR="0037001B">
              <w:rPr>
                <w:rFonts w:eastAsia="Times New Roman" w:cs="Arial"/>
                <w:bCs/>
                <w:color w:val="000000"/>
                <w:sz w:val="18"/>
                <w:szCs w:val="18"/>
              </w:rPr>
              <w:t xml:space="preserve"> Coordination Council on COVID-19 (</w:t>
            </w:r>
            <w:r w:rsidR="009E4AFB" w:rsidRPr="00857654">
              <w:rPr>
                <w:rFonts w:eastAsia="Times New Roman" w:cs="Arial"/>
                <w:bCs/>
                <w:color w:val="000000"/>
                <w:sz w:val="18"/>
                <w:szCs w:val="18"/>
              </w:rPr>
              <w:t>IACC</w:t>
            </w:r>
            <w:r w:rsidR="0037001B">
              <w:rPr>
                <w:rFonts w:eastAsia="Times New Roman" w:cs="Arial"/>
                <w:bCs/>
                <w:color w:val="000000"/>
                <w:sz w:val="18"/>
                <w:szCs w:val="18"/>
              </w:rPr>
              <w:t>)</w:t>
            </w:r>
            <w:r w:rsidR="003D5983" w:rsidRPr="00857654">
              <w:rPr>
                <w:rFonts w:eastAsia="Times New Roman" w:cs="Arial"/>
                <w:bCs/>
                <w:color w:val="000000"/>
                <w:sz w:val="18"/>
                <w:szCs w:val="18"/>
              </w:rPr>
              <w:t xml:space="preserve"> under the direction of the Prime Minister</w:t>
            </w:r>
            <w:r w:rsidR="00CB5625" w:rsidRPr="00857654">
              <w:rPr>
                <w:rFonts w:eastAsia="Times New Roman" w:cs="Arial"/>
                <w:bCs/>
                <w:color w:val="000000"/>
                <w:sz w:val="18"/>
                <w:szCs w:val="18"/>
              </w:rPr>
              <w:t xml:space="preserve"> in February 2020</w:t>
            </w:r>
            <w:r w:rsidR="009E4AFB" w:rsidRPr="00857654">
              <w:rPr>
                <w:rFonts w:eastAsia="Times New Roman" w:cs="Arial"/>
                <w:bCs/>
                <w:color w:val="000000"/>
                <w:sz w:val="18"/>
                <w:szCs w:val="18"/>
              </w:rPr>
              <w:t>.</w:t>
            </w:r>
            <w:r w:rsidR="002671F6" w:rsidRPr="00857654">
              <w:rPr>
                <w:rFonts w:eastAsia="Times New Roman" w:cs="Arial"/>
                <w:bCs/>
                <w:color w:val="000000"/>
                <w:sz w:val="18"/>
                <w:szCs w:val="18"/>
              </w:rPr>
              <w:t xml:space="preserve"> The IACC</w:t>
            </w:r>
            <w:r w:rsidR="009E4AFB" w:rsidRPr="00857654">
              <w:rPr>
                <w:rFonts w:eastAsia="Times New Roman" w:cs="Arial"/>
                <w:bCs/>
                <w:color w:val="000000"/>
                <w:sz w:val="18"/>
                <w:szCs w:val="18"/>
              </w:rPr>
              <w:t xml:space="preserve"> </w:t>
            </w:r>
            <w:r w:rsidR="00E52502" w:rsidRPr="00857654">
              <w:rPr>
                <w:rFonts w:eastAsia="Times New Roman" w:cs="Arial"/>
                <w:bCs/>
                <w:color w:val="000000"/>
                <w:sz w:val="18"/>
                <w:szCs w:val="18"/>
              </w:rPr>
              <w:t xml:space="preserve">has taken decisive and credible steps to contain the </w:t>
            </w:r>
            <w:r w:rsidR="00E52502" w:rsidRPr="00857654">
              <w:rPr>
                <w:rFonts w:eastAsia="Times New Roman" w:cs="Arial"/>
                <w:bCs/>
                <w:color w:val="000000"/>
                <w:sz w:val="18"/>
                <w:szCs w:val="18"/>
              </w:rPr>
              <w:lastRenderedPageBreak/>
              <w:t xml:space="preserve">spread of COVID-19 and mitigate the recessionary impact on the economy. </w:t>
            </w:r>
            <w:bookmarkEnd w:id="4"/>
            <w:r w:rsidR="000D5373" w:rsidRPr="00857654">
              <w:rPr>
                <w:rFonts w:eastAsia="Times New Roman" w:cs="Arial"/>
                <w:bCs/>
                <w:color w:val="000000"/>
                <w:sz w:val="18"/>
                <w:szCs w:val="18"/>
              </w:rPr>
              <w:t xml:space="preserve">The declaration of a national State of Emergency in March 2020 was followed by the publication of an extensive list of containment measures and, soon after, the announcement of a comprehensive </w:t>
            </w:r>
            <w:r w:rsidR="00582BE2" w:rsidRPr="00857654">
              <w:rPr>
                <w:rFonts w:eastAsia="Times New Roman" w:cs="Arial"/>
                <w:bCs/>
                <w:color w:val="000000"/>
                <w:sz w:val="18"/>
                <w:szCs w:val="18"/>
              </w:rPr>
              <w:t>response</w:t>
            </w:r>
            <w:r w:rsidR="000D5373" w:rsidRPr="00857654">
              <w:rPr>
                <w:rFonts w:eastAsia="Times New Roman" w:cs="Arial"/>
                <w:bCs/>
                <w:color w:val="000000"/>
                <w:sz w:val="18"/>
                <w:szCs w:val="18"/>
              </w:rPr>
              <w:t xml:space="preserve"> package</w:t>
            </w:r>
            <w:r w:rsidR="00582BE2" w:rsidRPr="00857654">
              <w:rPr>
                <w:rFonts w:eastAsia="Times New Roman" w:cs="Arial"/>
                <w:bCs/>
                <w:color w:val="000000"/>
                <w:sz w:val="18"/>
                <w:szCs w:val="18"/>
              </w:rPr>
              <w:t xml:space="preserve"> </w:t>
            </w:r>
            <w:r w:rsidR="00C04261" w:rsidRPr="00857654">
              <w:rPr>
                <w:rFonts w:eastAsia="Times New Roman" w:cs="Arial"/>
                <w:bCs/>
                <w:color w:val="000000"/>
                <w:sz w:val="18"/>
                <w:szCs w:val="18"/>
              </w:rPr>
              <w:t xml:space="preserve">supporting health sector resilience, </w:t>
            </w:r>
            <w:r w:rsidR="006D731D" w:rsidRPr="00857654">
              <w:rPr>
                <w:rFonts w:eastAsia="Times New Roman" w:cs="Arial"/>
                <w:bCs/>
                <w:color w:val="000000"/>
                <w:sz w:val="18"/>
                <w:szCs w:val="18"/>
              </w:rPr>
              <w:t>af</w:t>
            </w:r>
            <w:r w:rsidR="000D5373" w:rsidRPr="00857654">
              <w:rPr>
                <w:rFonts w:eastAsia="Times New Roman" w:cs="Arial"/>
                <w:bCs/>
                <w:color w:val="000000"/>
                <w:sz w:val="18"/>
                <w:szCs w:val="18"/>
              </w:rPr>
              <w:t>fected businesses</w:t>
            </w:r>
            <w:r w:rsidR="00054FC4" w:rsidRPr="00857654">
              <w:rPr>
                <w:rFonts w:eastAsia="Times New Roman" w:cs="Arial"/>
                <w:bCs/>
                <w:color w:val="000000"/>
                <w:sz w:val="18"/>
                <w:szCs w:val="18"/>
              </w:rPr>
              <w:t>,</w:t>
            </w:r>
            <w:r w:rsidR="000D5373" w:rsidRPr="00857654">
              <w:rPr>
                <w:rFonts w:eastAsia="Times New Roman" w:cs="Arial"/>
                <w:bCs/>
                <w:color w:val="000000"/>
                <w:sz w:val="18"/>
                <w:szCs w:val="18"/>
              </w:rPr>
              <w:t xml:space="preserve"> and </w:t>
            </w:r>
            <w:r w:rsidR="00235FD5" w:rsidRPr="00857654">
              <w:rPr>
                <w:rFonts w:eastAsia="Times New Roman" w:cs="Arial"/>
                <w:bCs/>
                <w:color w:val="000000"/>
                <w:sz w:val="18"/>
                <w:szCs w:val="18"/>
              </w:rPr>
              <w:t>the poor and vulnerable</w:t>
            </w:r>
            <w:r w:rsidR="00D0250D" w:rsidRPr="00857654">
              <w:rPr>
                <w:rFonts w:eastAsia="Times New Roman" w:cs="Arial"/>
                <w:bCs/>
                <w:color w:val="000000"/>
                <w:sz w:val="18"/>
                <w:szCs w:val="18"/>
              </w:rPr>
              <w:t xml:space="preserve"> during the crisis</w:t>
            </w:r>
            <w:r w:rsidR="00235FD5" w:rsidRPr="00857654">
              <w:rPr>
                <w:rFonts w:eastAsia="Times New Roman" w:cs="Arial"/>
                <w:bCs/>
                <w:color w:val="000000"/>
                <w:sz w:val="18"/>
                <w:szCs w:val="18"/>
              </w:rPr>
              <w:t>.</w:t>
            </w:r>
            <w:r w:rsidR="001B17A6" w:rsidRPr="00857654">
              <w:rPr>
                <w:rFonts w:eastAsia="Times New Roman" w:cs="Arial"/>
                <w:bCs/>
                <w:color w:val="000000"/>
                <w:sz w:val="18"/>
                <w:szCs w:val="18"/>
              </w:rPr>
              <w:t xml:space="preserve"> </w:t>
            </w:r>
          </w:p>
        </w:tc>
      </w:tr>
      <w:tr w:rsidR="00397CFF" w:rsidRPr="0020177B" w14:paraId="05C96019" w14:textId="77777777" w:rsidTr="00C15C4C">
        <w:trPr>
          <w:trHeight w:val="631"/>
          <w:jc w:val="center"/>
        </w:trPr>
        <w:tc>
          <w:tcPr>
            <w:tcW w:w="1606" w:type="dxa"/>
            <w:tcBorders>
              <w:top w:val="single" w:sz="6" w:space="0" w:color="auto"/>
              <w:left w:val="single" w:sz="6" w:space="0" w:color="auto"/>
              <w:bottom w:val="single" w:sz="6" w:space="0" w:color="auto"/>
              <w:right w:val="nil"/>
            </w:tcBorders>
            <w:shd w:val="clear" w:color="auto" w:fill="auto"/>
            <w:hideMark/>
          </w:tcPr>
          <w:p w14:paraId="3065D7A0" w14:textId="77777777"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lastRenderedPageBreak/>
              <w:t>5. Debt sustainability​</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4E0DE2FA" w14:textId="416A5D68" w:rsidR="00397CFF" w:rsidRPr="00857654" w:rsidRDefault="0007754C" w:rsidP="00AF4DF7">
            <w:pPr>
              <w:tabs>
                <w:tab w:val="left" w:pos="1440"/>
              </w:tabs>
              <w:ind w:left="89" w:right="80"/>
              <w:textAlignment w:val="baseline"/>
              <w:rPr>
                <w:rFonts w:eastAsia="Times New Roman" w:cs="Arial"/>
                <w:bCs/>
                <w:color w:val="000000"/>
                <w:sz w:val="18"/>
                <w:szCs w:val="18"/>
              </w:rPr>
            </w:pPr>
            <w:r w:rsidRPr="00857654">
              <w:rPr>
                <w:rFonts w:eastAsia="Times New Roman" w:cs="Arial"/>
                <w:bCs/>
                <w:color w:val="000000"/>
                <w:sz w:val="18"/>
                <w:szCs w:val="18"/>
              </w:rPr>
              <w:t>Public debt-to-GDP ratio</w:t>
            </w:r>
            <w:r w:rsidR="009E020E" w:rsidRPr="00857654">
              <w:rPr>
                <w:rFonts w:eastAsia="Times New Roman" w:cs="Arial"/>
                <w:bCs/>
                <w:color w:val="000000"/>
                <w:sz w:val="18"/>
                <w:szCs w:val="18"/>
              </w:rPr>
              <w:t xml:space="preserve"> </w:t>
            </w:r>
            <w:r w:rsidRPr="00857654">
              <w:rPr>
                <w:rFonts w:eastAsia="Times New Roman" w:cs="Arial"/>
                <w:bCs/>
                <w:color w:val="000000"/>
                <w:sz w:val="18"/>
                <w:szCs w:val="18"/>
              </w:rPr>
              <w:t>has been stable in recent years, hovering below 45% of GDP.</w:t>
            </w:r>
            <w:r w:rsidR="0010218C" w:rsidRPr="00857654">
              <w:rPr>
                <w:rFonts w:eastAsia="Times New Roman" w:cs="Arial"/>
                <w:bCs/>
                <w:color w:val="000000"/>
                <w:sz w:val="18"/>
                <w:szCs w:val="18"/>
              </w:rPr>
              <w:t xml:space="preserve"> </w:t>
            </w:r>
            <w:r w:rsidR="003D54D1" w:rsidRPr="00857654">
              <w:rPr>
                <w:rFonts w:eastAsia="Times New Roman" w:cs="Arial"/>
                <w:bCs/>
                <w:color w:val="000000"/>
                <w:sz w:val="18"/>
                <w:szCs w:val="18"/>
              </w:rPr>
              <w:t>Despite</w:t>
            </w:r>
            <w:r w:rsidR="0010218C" w:rsidRPr="00857654">
              <w:rPr>
                <w:rFonts w:eastAsia="Times New Roman" w:cs="Arial"/>
                <w:bCs/>
                <w:color w:val="000000"/>
                <w:sz w:val="18"/>
                <w:szCs w:val="18"/>
              </w:rPr>
              <w:t xml:space="preserve"> a</w:t>
            </w:r>
            <w:r w:rsidR="00D0250D" w:rsidRPr="00857654">
              <w:rPr>
                <w:rFonts w:eastAsia="Times New Roman" w:cs="Arial"/>
                <w:bCs/>
                <w:color w:val="000000"/>
                <w:sz w:val="18"/>
                <w:szCs w:val="18"/>
              </w:rPr>
              <w:t>n expected</w:t>
            </w:r>
            <w:r w:rsidR="0010218C" w:rsidRPr="00857654">
              <w:rPr>
                <w:rFonts w:eastAsia="Times New Roman" w:cs="Arial"/>
                <w:bCs/>
                <w:color w:val="000000"/>
                <w:sz w:val="18"/>
                <w:szCs w:val="18"/>
              </w:rPr>
              <w:t xml:space="preserve"> </w:t>
            </w:r>
            <w:r w:rsidR="002D3CCF" w:rsidRPr="00857654">
              <w:rPr>
                <w:rFonts w:eastAsia="Times New Roman" w:cs="Arial"/>
                <w:bCs/>
                <w:color w:val="000000"/>
                <w:sz w:val="18"/>
                <w:szCs w:val="18"/>
              </w:rPr>
              <w:t>substantial</w:t>
            </w:r>
            <w:r w:rsidR="0010218C" w:rsidRPr="00857654">
              <w:rPr>
                <w:rFonts w:eastAsia="Times New Roman" w:cs="Arial"/>
                <w:bCs/>
                <w:color w:val="000000"/>
                <w:sz w:val="18"/>
                <w:szCs w:val="18"/>
              </w:rPr>
              <w:t xml:space="preserve"> increase in 2020</w:t>
            </w:r>
            <w:r w:rsidR="003D54D1" w:rsidRPr="00857654">
              <w:rPr>
                <w:rFonts w:eastAsia="Times New Roman" w:cs="Arial"/>
                <w:bCs/>
                <w:color w:val="000000"/>
                <w:sz w:val="18"/>
                <w:szCs w:val="18"/>
              </w:rPr>
              <w:t>, led by temporary spending</w:t>
            </w:r>
            <w:r w:rsidR="005E5B19">
              <w:rPr>
                <w:rFonts w:eastAsia="Times New Roman" w:cs="Arial"/>
                <w:bCs/>
                <w:color w:val="000000"/>
                <w:sz w:val="18"/>
                <w:szCs w:val="18"/>
              </w:rPr>
              <w:t xml:space="preserve"> to mitigate the adverse effects of COVID-19 which is to be</w:t>
            </w:r>
            <w:r w:rsidR="003D54D1" w:rsidRPr="00857654">
              <w:rPr>
                <w:rFonts w:eastAsia="Times New Roman" w:cs="Arial"/>
                <w:bCs/>
                <w:color w:val="000000"/>
                <w:sz w:val="18"/>
                <w:szCs w:val="18"/>
              </w:rPr>
              <w:t xml:space="preserve"> financed by development partners and domestic borrowing, </w:t>
            </w:r>
            <w:r w:rsidR="00C30DB8">
              <w:rPr>
                <w:rFonts w:eastAsia="Times New Roman" w:cs="Arial"/>
                <w:bCs/>
                <w:color w:val="000000"/>
                <w:sz w:val="18"/>
                <w:szCs w:val="18"/>
              </w:rPr>
              <w:t xml:space="preserve">ADB </w:t>
            </w:r>
            <w:r w:rsidR="004302E1">
              <w:rPr>
                <w:rFonts w:eastAsia="Times New Roman" w:cs="Arial"/>
                <w:bCs/>
                <w:color w:val="000000"/>
                <w:sz w:val="18"/>
                <w:szCs w:val="18"/>
              </w:rPr>
              <w:t>concludes</w:t>
            </w:r>
            <w:r w:rsidR="005E5B19">
              <w:rPr>
                <w:rFonts w:eastAsia="Times New Roman" w:cs="Arial"/>
                <w:bCs/>
                <w:color w:val="000000"/>
                <w:sz w:val="18"/>
                <w:szCs w:val="18"/>
              </w:rPr>
              <w:t xml:space="preserve"> that</w:t>
            </w:r>
            <w:r w:rsidR="00505D1F">
              <w:rPr>
                <w:rFonts w:eastAsia="Times New Roman" w:cs="Arial"/>
                <w:bCs/>
                <w:color w:val="000000"/>
                <w:sz w:val="18"/>
                <w:szCs w:val="18"/>
              </w:rPr>
              <w:t xml:space="preserve"> </w:t>
            </w:r>
            <w:r w:rsidR="00BE1893" w:rsidRPr="00857654">
              <w:rPr>
                <w:rFonts w:eastAsia="Times New Roman" w:cs="Arial"/>
                <w:bCs/>
                <w:color w:val="000000"/>
                <w:sz w:val="18"/>
                <w:szCs w:val="18"/>
              </w:rPr>
              <w:t>public debt remain</w:t>
            </w:r>
            <w:r w:rsidR="0033138C">
              <w:rPr>
                <w:rFonts w:eastAsia="Times New Roman" w:cs="Arial"/>
                <w:bCs/>
                <w:color w:val="000000"/>
                <w:sz w:val="18"/>
                <w:szCs w:val="18"/>
              </w:rPr>
              <w:t>s</w:t>
            </w:r>
            <w:r w:rsidR="00BE1893" w:rsidRPr="00857654">
              <w:rPr>
                <w:rFonts w:eastAsia="Times New Roman" w:cs="Arial"/>
                <w:bCs/>
                <w:color w:val="000000"/>
                <w:sz w:val="18"/>
                <w:szCs w:val="18"/>
              </w:rPr>
              <w:t xml:space="preserve"> </w:t>
            </w:r>
            <w:r w:rsidR="005E5B19">
              <w:rPr>
                <w:rFonts w:eastAsia="Times New Roman" w:cs="Arial"/>
                <w:bCs/>
                <w:color w:val="000000"/>
                <w:sz w:val="18"/>
                <w:szCs w:val="18"/>
              </w:rPr>
              <w:t>sustainable in the medium term.</w:t>
            </w:r>
            <w:r w:rsidR="001B17A6">
              <w:rPr>
                <w:rFonts w:eastAsia="Times New Roman" w:cs="Arial"/>
                <w:bCs/>
                <w:color w:val="000000"/>
                <w:sz w:val="18"/>
                <w:szCs w:val="18"/>
              </w:rPr>
              <w:t xml:space="preserve"> </w:t>
            </w:r>
            <w:r w:rsidR="004B4F31" w:rsidRPr="004B4F31">
              <w:rPr>
                <w:rFonts w:eastAsia="Times New Roman" w:cs="Arial"/>
                <w:bCs/>
                <w:color w:val="000000"/>
                <w:sz w:val="18"/>
                <w:szCs w:val="18"/>
              </w:rPr>
              <w:t>Financial assistance from the ADB will not aggravate Georgia’s debt vulnerabilities in the medium term.</w:t>
            </w:r>
          </w:p>
        </w:tc>
      </w:tr>
      <w:tr w:rsidR="00397CFF" w:rsidRPr="0020177B" w14:paraId="52B32C4F" w14:textId="77777777" w:rsidTr="00C15C4C">
        <w:trPr>
          <w:trHeight w:val="470"/>
          <w:jc w:val="center"/>
        </w:trPr>
        <w:tc>
          <w:tcPr>
            <w:tcW w:w="1606" w:type="dxa"/>
            <w:tcBorders>
              <w:top w:val="single" w:sz="6" w:space="0" w:color="auto"/>
              <w:left w:val="single" w:sz="6" w:space="0" w:color="auto"/>
              <w:bottom w:val="single" w:sz="6" w:space="0" w:color="auto"/>
              <w:right w:val="nil"/>
            </w:tcBorders>
            <w:shd w:val="clear" w:color="auto" w:fill="auto"/>
            <w:hideMark/>
          </w:tcPr>
          <w:p w14:paraId="1978594E" w14:textId="16F2F31A" w:rsidR="00397CFF" w:rsidRPr="00857654" w:rsidRDefault="00397CFF" w:rsidP="00E0625C">
            <w:pPr>
              <w:ind w:left="76" w:right="-6"/>
              <w:jc w:val="left"/>
              <w:textAlignment w:val="baseline"/>
              <w:rPr>
                <w:rFonts w:eastAsia="Times New Roman" w:cs="Arial"/>
                <w:bCs/>
                <w:color w:val="000000"/>
                <w:sz w:val="18"/>
                <w:szCs w:val="18"/>
              </w:rPr>
            </w:pPr>
            <w:r w:rsidRPr="00857654">
              <w:rPr>
                <w:rFonts w:eastAsia="Times New Roman" w:cs="Arial"/>
                <w:bCs/>
                <w:color w:val="000000"/>
                <w:sz w:val="18"/>
                <w:szCs w:val="18"/>
              </w:rPr>
              <w:t xml:space="preserve">6. Coordination </w:t>
            </w:r>
            <w:r w:rsidR="00F54E74" w:rsidRPr="00857654">
              <w:rPr>
                <w:rFonts w:eastAsia="Times New Roman" w:cs="Arial"/>
                <w:bCs/>
                <w:color w:val="000000"/>
                <w:sz w:val="18"/>
                <w:szCs w:val="18"/>
              </w:rPr>
              <w:t>the International Monetary Fund</w:t>
            </w:r>
            <w:r w:rsidRPr="00857654">
              <w:rPr>
                <w:rFonts w:eastAsia="Times New Roman" w:cs="Arial"/>
                <w:bCs/>
                <w:color w:val="000000"/>
                <w:sz w:val="18"/>
                <w:szCs w:val="18"/>
              </w:rPr>
              <w:t>​</w:t>
            </w:r>
          </w:p>
        </w:tc>
        <w:tc>
          <w:tcPr>
            <w:tcW w:w="7836" w:type="dxa"/>
            <w:tcBorders>
              <w:top w:val="single" w:sz="6" w:space="0" w:color="auto"/>
              <w:left w:val="single" w:sz="6" w:space="0" w:color="auto"/>
              <w:bottom w:val="single" w:sz="6" w:space="0" w:color="auto"/>
              <w:right w:val="single" w:sz="6" w:space="0" w:color="auto"/>
            </w:tcBorders>
            <w:shd w:val="clear" w:color="auto" w:fill="auto"/>
            <w:hideMark/>
          </w:tcPr>
          <w:p w14:paraId="3906BDFC" w14:textId="28A55793" w:rsidR="00397CFF" w:rsidRPr="00857654" w:rsidRDefault="00397CFF" w:rsidP="00AF4DF7">
            <w:pPr>
              <w:tabs>
                <w:tab w:val="left" w:pos="1440"/>
              </w:tabs>
              <w:ind w:left="89" w:right="80"/>
              <w:textAlignment w:val="baseline"/>
              <w:rPr>
                <w:rFonts w:eastAsia="Times New Roman" w:cs="Arial"/>
                <w:bCs/>
                <w:color w:val="000000"/>
                <w:sz w:val="18"/>
                <w:szCs w:val="18"/>
              </w:rPr>
            </w:pPr>
            <w:r w:rsidRPr="00857654">
              <w:rPr>
                <w:rFonts w:eastAsia="Times New Roman" w:cs="Arial"/>
                <w:bCs/>
                <w:color w:val="000000"/>
                <w:sz w:val="18"/>
                <w:szCs w:val="18"/>
              </w:rPr>
              <w:t>ADB has consulted with IMF</w:t>
            </w:r>
            <w:r w:rsidR="00D10399" w:rsidRPr="00857654">
              <w:rPr>
                <w:rFonts w:eastAsia="Times New Roman" w:cs="Arial"/>
                <w:bCs/>
                <w:color w:val="000000"/>
                <w:sz w:val="18"/>
                <w:szCs w:val="18"/>
              </w:rPr>
              <w:t xml:space="preserve"> and is in close </w:t>
            </w:r>
            <w:r w:rsidR="00CC7E23" w:rsidRPr="00857654">
              <w:rPr>
                <w:rFonts w:eastAsia="Times New Roman" w:cs="Arial"/>
                <w:bCs/>
                <w:color w:val="000000"/>
                <w:sz w:val="18"/>
                <w:szCs w:val="18"/>
              </w:rPr>
              <w:t xml:space="preserve">contact with </w:t>
            </w:r>
            <w:r w:rsidR="00E83F94">
              <w:rPr>
                <w:rFonts w:eastAsia="Times New Roman" w:cs="Arial"/>
                <w:bCs/>
                <w:color w:val="000000"/>
                <w:sz w:val="18"/>
                <w:szCs w:val="18"/>
              </w:rPr>
              <w:t xml:space="preserve">its </w:t>
            </w:r>
            <w:r w:rsidR="00CC7E23" w:rsidRPr="00857654">
              <w:rPr>
                <w:rFonts w:eastAsia="Times New Roman" w:cs="Arial"/>
                <w:bCs/>
                <w:color w:val="000000"/>
                <w:sz w:val="18"/>
                <w:szCs w:val="18"/>
              </w:rPr>
              <w:t>relevant staff on macroeconomic monitoring</w:t>
            </w:r>
            <w:r w:rsidR="007D11F2" w:rsidRPr="00857654">
              <w:rPr>
                <w:rFonts w:eastAsia="Times New Roman" w:cs="Arial"/>
                <w:bCs/>
                <w:color w:val="000000"/>
                <w:sz w:val="18"/>
                <w:szCs w:val="18"/>
              </w:rPr>
              <w:t>.</w:t>
            </w:r>
            <w:r w:rsidR="009B3BF7" w:rsidRPr="00857654">
              <w:rPr>
                <w:rFonts w:eastAsia="Times New Roman" w:cs="Arial"/>
                <w:bCs/>
                <w:color w:val="000000"/>
                <w:sz w:val="18"/>
                <w:szCs w:val="18"/>
              </w:rPr>
              <w:t xml:space="preserve"> </w:t>
            </w:r>
            <w:r w:rsidRPr="00857654">
              <w:rPr>
                <w:rFonts w:eastAsia="Times New Roman" w:cs="Arial"/>
                <w:bCs/>
                <w:color w:val="000000"/>
                <w:sz w:val="18"/>
                <w:szCs w:val="18"/>
              </w:rPr>
              <w:t xml:space="preserve">IMF </w:t>
            </w:r>
            <w:r w:rsidR="009B3BF7" w:rsidRPr="00857654">
              <w:rPr>
                <w:rFonts w:eastAsia="Times New Roman" w:cs="Arial"/>
                <w:bCs/>
                <w:color w:val="000000"/>
                <w:sz w:val="18"/>
                <w:szCs w:val="18"/>
              </w:rPr>
              <w:t xml:space="preserve">has provided </w:t>
            </w:r>
            <w:r w:rsidR="004C3136">
              <w:rPr>
                <w:rFonts w:eastAsia="Times New Roman" w:cs="Arial"/>
                <w:bCs/>
                <w:color w:val="000000"/>
                <w:sz w:val="18"/>
                <w:szCs w:val="18"/>
              </w:rPr>
              <w:t>a</w:t>
            </w:r>
            <w:r w:rsidR="000301E3">
              <w:rPr>
                <w:rFonts w:eastAsia="Times New Roman" w:cs="Arial"/>
                <w:bCs/>
                <w:color w:val="000000"/>
                <w:sz w:val="18"/>
                <w:szCs w:val="18"/>
              </w:rPr>
              <w:t xml:space="preserve"> </w:t>
            </w:r>
            <w:r w:rsidR="009B3BF7" w:rsidRPr="00857654">
              <w:rPr>
                <w:rFonts w:eastAsia="Times New Roman" w:cs="Arial"/>
                <w:bCs/>
                <w:color w:val="000000"/>
                <w:sz w:val="18"/>
                <w:szCs w:val="18"/>
              </w:rPr>
              <w:t xml:space="preserve">favorable assessment </w:t>
            </w:r>
            <w:r w:rsidR="0058497E" w:rsidRPr="00857654">
              <w:rPr>
                <w:rFonts w:eastAsia="Times New Roman" w:cs="Arial"/>
                <w:bCs/>
                <w:color w:val="000000"/>
                <w:sz w:val="18"/>
                <w:szCs w:val="18"/>
              </w:rPr>
              <w:t>letter</w:t>
            </w:r>
            <w:r w:rsidR="00224D49">
              <w:rPr>
                <w:rFonts w:eastAsia="Times New Roman" w:cs="Arial"/>
                <w:bCs/>
                <w:color w:val="000000"/>
                <w:sz w:val="18"/>
                <w:szCs w:val="18"/>
              </w:rPr>
              <w:t xml:space="preserve"> (</w:t>
            </w:r>
            <w:r w:rsidR="00714B49">
              <w:rPr>
                <w:rFonts w:eastAsia="Times New Roman" w:cs="Arial"/>
                <w:bCs/>
                <w:color w:val="000000"/>
                <w:sz w:val="18"/>
                <w:szCs w:val="18"/>
              </w:rPr>
              <w:t>linked documents 9)</w:t>
            </w:r>
            <w:r w:rsidR="0058497E" w:rsidRPr="00857654">
              <w:rPr>
                <w:rFonts w:eastAsia="Times New Roman" w:cs="Arial"/>
                <w:bCs/>
                <w:color w:val="000000"/>
                <w:sz w:val="18"/>
                <w:szCs w:val="18"/>
              </w:rPr>
              <w:t>. ​</w:t>
            </w:r>
            <w:r w:rsidR="00CB25BF" w:rsidRPr="00857654">
              <w:rPr>
                <w:rFonts w:eastAsia="Times New Roman" w:cs="Arial"/>
                <w:bCs/>
                <w:color w:val="000000"/>
                <w:sz w:val="18"/>
                <w:szCs w:val="18"/>
              </w:rPr>
              <w:t>The IMF has reached staff-level agreement on a $345 million augmentation of the current program, helping the authorities meet shock-related needs</w:t>
            </w:r>
            <w:r w:rsidR="00A949B6" w:rsidRPr="00857654">
              <w:rPr>
                <w:rFonts w:eastAsia="Times New Roman" w:cs="Arial"/>
                <w:bCs/>
                <w:color w:val="000000"/>
                <w:sz w:val="18"/>
                <w:szCs w:val="18"/>
              </w:rPr>
              <w:t>,</w:t>
            </w:r>
            <w:r w:rsidR="00CB25BF" w:rsidRPr="00857654">
              <w:rPr>
                <w:rFonts w:eastAsia="Times New Roman" w:cs="Arial"/>
                <w:bCs/>
                <w:color w:val="000000"/>
                <w:sz w:val="18"/>
                <w:szCs w:val="18"/>
              </w:rPr>
              <w:t xml:space="preserve"> and build buffers.</w:t>
            </w:r>
          </w:p>
        </w:tc>
      </w:tr>
    </w:tbl>
    <w:p w14:paraId="06BB18B5" w14:textId="0849FDA7" w:rsidR="00EB2691" w:rsidRPr="00F22819" w:rsidRDefault="00B15D2D" w:rsidP="0072494A">
      <w:pPr>
        <w:rPr>
          <w:sz w:val="18"/>
          <w:szCs w:val="18"/>
        </w:rPr>
      </w:pPr>
      <w:r w:rsidRPr="00F22819">
        <w:rPr>
          <w:sz w:val="18"/>
          <w:szCs w:val="18"/>
        </w:rPr>
        <w:t xml:space="preserve">ADB = Asian Development Bank, </w:t>
      </w:r>
      <w:r w:rsidR="002C5C29">
        <w:rPr>
          <w:sz w:val="18"/>
          <w:szCs w:val="18"/>
        </w:rPr>
        <w:t xml:space="preserve">COVID-19 = </w:t>
      </w:r>
      <w:r w:rsidR="002C5C29" w:rsidRPr="002C5C29">
        <w:rPr>
          <w:sz w:val="18"/>
          <w:szCs w:val="18"/>
        </w:rPr>
        <w:t>Coronavirus disease 2019</w:t>
      </w:r>
      <w:r w:rsidR="002C5C29">
        <w:rPr>
          <w:sz w:val="18"/>
          <w:szCs w:val="18"/>
        </w:rPr>
        <w:t xml:space="preserve">, </w:t>
      </w:r>
      <w:r w:rsidR="005D2A8F">
        <w:rPr>
          <w:sz w:val="18"/>
          <w:szCs w:val="18"/>
        </w:rPr>
        <w:t xml:space="preserve">EFF = </w:t>
      </w:r>
      <w:r w:rsidR="005D2A8F" w:rsidRPr="005D2A8F">
        <w:rPr>
          <w:sz w:val="18"/>
          <w:szCs w:val="18"/>
        </w:rPr>
        <w:t>Extended Fund Facility</w:t>
      </w:r>
      <w:r w:rsidR="006A23AA">
        <w:rPr>
          <w:sz w:val="18"/>
          <w:szCs w:val="18"/>
        </w:rPr>
        <w:t>,</w:t>
      </w:r>
      <w:r w:rsidR="005D2A8F" w:rsidRPr="005D2A8F">
        <w:rPr>
          <w:sz w:val="18"/>
          <w:szCs w:val="18"/>
        </w:rPr>
        <w:t xml:space="preserve"> </w:t>
      </w:r>
      <w:r w:rsidR="00614F9C" w:rsidRPr="00F22819">
        <w:rPr>
          <w:sz w:val="18"/>
          <w:szCs w:val="18"/>
        </w:rPr>
        <w:t>GDP</w:t>
      </w:r>
      <w:r w:rsidR="00412ED3" w:rsidRPr="00F22819">
        <w:rPr>
          <w:sz w:val="18"/>
          <w:szCs w:val="18"/>
        </w:rPr>
        <w:t xml:space="preserve"> = gross domestic product</w:t>
      </w:r>
      <w:r w:rsidR="00F22819" w:rsidRPr="00F22819">
        <w:rPr>
          <w:sz w:val="18"/>
          <w:szCs w:val="18"/>
        </w:rPr>
        <w:t xml:space="preserve">, </w:t>
      </w:r>
      <w:r w:rsidR="00E13F1F">
        <w:rPr>
          <w:sz w:val="18"/>
          <w:szCs w:val="18"/>
        </w:rPr>
        <w:t>IAAC</w:t>
      </w:r>
      <w:r w:rsidR="005763E3">
        <w:rPr>
          <w:sz w:val="18"/>
          <w:szCs w:val="18"/>
        </w:rPr>
        <w:t xml:space="preserve"> = </w:t>
      </w:r>
      <w:r w:rsidR="005763E3" w:rsidRPr="005763E3">
        <w:rPr>
          <w:sz w:val="18"/>
          <w:szCs w:val="18"/>
        </w:rPr>
        <w:t>Inter-Agency Council for Coordination Against the Coronavirus</w:t>
      </w:r>
      <w:r w:rsidR="005763E3">
        <w:rPr>
          <w:sz w:val="18"/>
          <w:szCs w:val="18"/>
        </w:rPr>
        <w:t xml:space="preserve">, </w:t>
      </w:r>
      <w:r w:rsidR="00F22819" w:rsidRPr="00F22819">
        <w:rPr>
          <w:sz w:val="18"/>
          <w:szCs w:val="18"/>
        </w:rPr>
        <w:t>IMF = International Monetary Fund</w:t>
      </w:r>
      <w:r w:rsidR="005763E3">
        <w:rPr>
          <w:sz w:val="18"/>
          <w:szCs w:val="18"/>
        </w:rPr>
        <w:t>.</w:t>
      </w:r>
    </w:p>
    <w:p w14:paraId="35F46D2F" w14:textId="476BD46E" w:rsidR="009A4348" w:rsidRPr="00FB1778" w:rsidRDefault="009A4348" w:rsidP="0072494A">
      <w:pPr>
        <w:ind w:left="180" w:hanging="180"/>
        <w:rPr>
          <w:rFonts w:eastAsia="Times New Roman" w:cs="Arial"/>
          <w:color w:val="000000"/>
          <w:sz w:val="18"/>
          <w:szCs w:val="18"/>
        </w:rPr>
      </w:pPr>
      <w:r w:rsidRPr="009A4348">
        <w:rPr>
          <w:rFonts w:eastAsia="Times New Roman" w:cs="Arial"/>
          <w:bCs/>
          <w:color w:val="000000"/>
          <w:sz w:val="18"/>
          <w:szCs w:val="18"/>
          <w:vertAlign w:val="superscript"/>
        </w:rPr>
        <w:t>a</w:t>
      </w:r>
      <w:r>
        <w:rPr>
          <w:rFonts w:eastAsia="Times New Roman" w:cs="Arial"/>
          <w:bCs/>
          <w:color w:val="000000"/>
          <w:sz w:val="18"/>
          <w:szCs w:val="18"/>
          <w:vertAlign w:val="superscript"/>
        </w:rPr>
        <w:t xml:space="preserve">  </w:t>
      </w:r>
      <w:r w:rsidR="009B070A">
        <w:rPr>
          <w:rFonts w:eastAsia="Times New Roman" w:cs="Arial"/>
          <w:bCs/>
          <w:color w:val="000000"/>
          <w:sz w:val="18"/>
          <w:szCs w:val="18"/>
          <w:vertAlign w:val="superscript"/>
        </w:rPr>
        <w:t xml:space="preserve"> </w:t>
      </w:r>
      <w:r w:rsidR="00FB1778">
        <w:rPr>
          <w:rFonts w:eastAsia="Times New Roman" w:cs="Arial"/>
          <w:bCs/>
          <w:color w:val="000000"/>
          <w:sz w:val="18"/>
          <w:szCs w:val="18"/>
        </w:rPr>
        <w:t>IMF. 2020. Georgia: Assessment Letter for the Asian Development Bank. Washington D.C.</w:t>
      </w:r>
    </w:p>
    <w:p w14:paraId="5AD1276E" w14:textId="44B384A4" w:rsidR="0029290B" w:rsidRDefault="009A4348" w:rsidP="0072494A">
      <w:pPr>
        <w:ind w:left="180" w:hanging="180"/>
        <w:rPr>
          <w:sz w:val="18"/>
          <w:szCs w:val="18"/>
        </w:rPr>
      </w:pPr>
      <w:r>
        <w:rPr>
          <w:rFonts w:eastAsia="Times New Roman" w:cs="Arial"/>
          <w:color w:val="000000"/>
          <w:sz w:val="18"/>
          <w:szCs w:val="18"/>
          <w:vertAlign w:val="superscript"/>
        </w:rPr>
        <w:t>b</w:t>
      </w:r>
      <w:r w:rsidR="004D5467">
        <w:rPr>
          <w:rFonts w:eastAsia="Times New Roman" w:cs="Arial"/>
          <w:color w:val="000000"/>
          <w:sz w:val="18"/>
          <w:szCs w:val="18"/>
          <w:vertAlign w:val="superscript"/>
        </w:rPr>
        <w:tab/>
      </w:r>
      <w:r w:rsidR="004D5467" w:rsidRPr="004D5467">
        <w:rPr>
          <w:sz w:val="18"/>
          <w:szCs w:val="18"/>
        </w:rPr>
        <w:t>World Bank. 2020. Economic Management and Competitiveness Development Policy Operation. Washington, D.C. and IMF. 2017. Extended Arrangement Under the Extended Fund Facility for Georgia. Washington, D.C.</w:t>
      </w:r>
    </w:p>
    <w:p w14:paraId="6AF71CF0" w14:textId="5CB5C781" w:rsidR="005C7C89" w:rsidRDefault="009A4348" w:rsidP="0072494A">
      <w:pPr>
        <w:ind w:left="180" w:hanging="180"/>
        <w:rPr>
          <w:sz w:val="18"/>
          <w:szCs w:val="18"/>
        </w:rPr>
      </w:pPr>
      <w:r>
        <w:rPr>
          <w:rFonts w:eastAsia="Times New Roman" w:cs="Arial"/>
          <w:color w:val="000000"/>
          <w:sz w:val="18"/>
          <w:szCs w:val="18"/>
          <w:vertAlign w:val="superscript"/>
        </w:rPr>
        <w:t>c</w:t>
      </w:r>
      <w:r w:rsidR="000644D3">
        <w:rPr>
          <w:sz w:val="18"/>
          <w:szCs w:val="18"/>
        </w:rPr>
        <w:tab/>
      </w:r>
      <w:r w:rsidR="000644D3" w:rsidRPr="000644D3">
        <w:rPr>
          <w:sz w:val="18"/>
          <w:szCs w:val="18"/>
        </w:rPr>
        <w:t>ADB. 2020. Georgia: Preparing the Second Domestic Resource Mobilization Program. Manila.</w:t>
      </w:r>
    </w:p>
    <w:p w14:paraId="60E35A80" w14:textId="2AFADB02" w:rsidR="00567D69" w:rsidRDefault="009B070A" w:rsidP="0072494A">
      <w:pPr>
        <w:ind w:left="180" w:hanging="180"/>
        <w:rPr>
          <w:sz w:val="18"/>
          <w:szCs w:val="18"/>
        </w:rPr>
      </w:pPr>
      <w:r>
        <w:rPr>
          <w:rFonts w:eastAsia="Times New Roman" w:cs="Arial"/>
          <w:color w:val="000000"/>
          <w:sz w:val="18"/>
          <w:szCs w:val="18"/>
          <w:vertAlign w:val="superscript"/>
        </w:rPr>
        <w:t>d</w:t>
      </w:r>
      <w:r w:rsidR="00567D69">
        <w:rPr>
          <w:sz w:val="18"/>
          <w:szCs w:val="18"/>
        </w:rPr>
        <w:tab/>
      </w:r>
      <w:r w:rsidR="00567D69" w:rsidRPr="00567D69">
        <w:rPr>
          <w:sz w:val="18"/>
          <w:szCs w:val="18"/>
        </w:rPr>
        <w:t>IMF. 2020. Georgia Debt Sustainability Analysis. Washington, D.C</w:t>
      </w:r>
    </w:p>
    <w:p w14:paraId="5AEC7A75" w14:textId="47AD46CF" w:rsidR="007D182E" w:rsidRPr="00F22819" w:rsidRDefault="007D182E" w:rsidP="0072494A">
      <w:pPr>
        <w:ind w:left="180" w:hanging="180"/>
        <w:rPr>
          <w:sz w:val="18"/>
          <w:szCs w:val="18"/>
        </w:rPr>
      </w:pPr>
      <w:r>
        <w:rPr>
          <w:sz w:val="18"/>
          <w:szCs w:val="18"/>
        </w:rPr>
        <w:t>Source: Asian Development Bank.</w:t>
      </w:r>
    </w:p>
    <w:p w14:paraId="2818CB5F" w14:textId="77777777" w:rsidR="00F22819" w:rsidRDefault="00F22819" w:rsidP="0072494A"/>
    <w:p w14:paraId="7E5E7F48" w14:textId="79EA4524" w:rsidR="001156C6" w:rsidRDefault="00BB526D" w:rsidP="00B96F7E">
      <w:pPr>
        <w:pStyle w:val="Heading1"/>
        <w:ind w:left="0" w:firstLine="0"/>
      </w:pPr>
      <w:bookmarkStart w:id="5" w:name="_Toc491178991"/>
      <w:bookmarkStart w:id="6" w:name="_Toc2503801"/>
      <w:bookmarkStart w:id="7" w:name="_Toc246237704"/>
      <w:bookmarkStart w:id="8" w:name="_Toc39790006"/>
      <w:bookmarkEnd w:id="5"/>
      <w:r w:rsidRPr="00BB526D">
        <w:t xml:space="preserve">Program </w:t>
      </w:r>
      <w:bookmarkEnd w:id="6"/>
      <w:bookmarkEnd w:id="7"/>
      <w:r>
        <w:t>and Rationale</w:t>
      </w:r>
      <w:bookmarkEnd w:id="8"/>
    </w:p>
    <w:p w14:paraId="1B5233AF" w14:textId="77777777" w:rsidR="00BB526D" w:rsidRPr="00D043F8" w:rsidRDefault="00BB526D" w:rsidP="0072494A">
      <w:pPr>
        <w:keepNext/>
      </w:pPr>
    </w:p>
    <w:p w14:paraId="43D27E6E" w14:textId="77777777" w:rsidR="00DD0D71" w:rsidRDefault="00827B0A" w:rsidP="0072494A">
      <w:pPr>
        <w:pStyle w:val="Heading2"/>
        <w:rPr>
          <w:snapToGrid w:val="0"/>
        </w:rPr>
      </w:pPr>
      <w:bookmarkStart w:id="9" w:name="_Toc2503802"/>
      <w:bookmarkStart w:id="10" w:name="_Toc39790007"/>
      <w:r>
        <w:rPr>
          <w:snapToGrid w:val="0"/>
        </w:rPr>
        <w:t>Background and Development Constraints</w:t>
      </w:r>
      <w:bookmarkEnd w:id="9"/>
      <w:bookmarkEnd w:id="10"/>
    </w:p>
    <w:p w14:paraId="784C3E2F" w14:textId="77777777" w:rsidR="00DD0D71" w:rsidRDefault="00DD0D71" w:rsidP="0072494A"/>
    <w:p w14:paraId="0C5ED5D5" w14:textId="1A783FA9" w:rsidR="00DD0D71" w:rsidRPr="00310A7C" w:rsidRDefault="00DD0D71" w:rsidP="00EA2F1B">
      <w:pPr>
        <w:pStyle w:val="ListParagraph"/>
        <w:numPr>
          <w:ilvl w:val="0"/>
          <w:numId w:val="6"/>
        </w:numPr>
        <w:ind w:left="0" w:firstLine="0"/>
        <w:jc w:val="both"/>
        <w:rPr>
          <w:lang w:val="en-PH"/>
        </w:rPr>
      </w:pPr>
      <w:r w:rsidRPr="00310A7C">
        <w:rPr>
          <w:b/>
          <w:bCs/>
        </w:rPr>
        <w:t>Impact of the COVID-19 pandemic in Georgia.</w:t>
      </w:r>
      <w:r>
        <w:t xml:space="preserve"> Since its outbreak</w:t>
      </w:r>
      <w:r w:rsidR="002C1357">
        <w:t xml:space="preserve"> in December 2019</w:t>
      </w:r>
      <w:r>
        <w:t xml:space="preserve">, the novel Coronavirus </w:t>
      </w:r>
      <w:r w:rsidR="002C1357">
        <w:t>has spread</w:t>
      </w:r>
      <w:r>
        <w:t xml:space="preserve"> rapidly</w:t>
      </w:r>
      <w:r w:rsidRPr="00154806">
        <w:t xml:space="preserve"> </w:t>
      </w:r>
      <w:r w:rsidR="002C1357">
        <w:t xml:space="preserve">across the world. </w:t>
      </w:r>
      <w:r w:rsidR="00667D84">
        <w:t>WHO declared</w:t>
      </w:r>
      <w:r w:rsidRPr="00154806">
        <w:t xml:space="preserve"> a</w:t>
      </w:r>
      <w:r w:rsidRPr="00154806" w:rsidDel="00E92661">
        <w:t xml:space="preserve"> </w:t>
      </w:r>
      <w:r w:rsidRPr="00154806">
        <w:t>global pandemic</w:t>
      </w:r>
      <w:r w:rsidR="00E92661">
        <w:t xml:space="preserve"> on 11 March 2020</w:t>
      </w:r>
      <w:r w:rsidRPr="00154806">
        <w:t>.</w:t>
      </w:r>
      <w:r>
        <w:t xml:space="preserve"> The number of cases worldwide soared to 2</w:t>
      </w:r>
      <w:r w:rsidR="00BE4631">
        <w:t>,912</w:t>
      </w:r>
      <w:r>
        <w:t>,</w:t>
      </w:r>
      <w:r w:rsidR="00BE4631">
        <w:t>421</w:t>
      </w:r>
      <w:r>
        <w:t xml:space="preserve"> with </w:t>
      </w:r>
      <w:r w:rsidR="00BE4631">
        <w:t>203</w:t>
      </w:r>
      <w:r>
        <w:t>,</w:t>
      </w:r>
      <w:r w:rsidR="00442321">
        <w:t>432</w:t>
      </w:r>
      <w:r>
        <w:t xml:space="preserve"> deaths worldwide as of 2</w:t>
      </w:r>
      <w:r w:rsidR="00442321">
        <w:t>6</w:t>
      </w:r>
      <w:r>
        <w:t xml:space="preserve"> April 2020.</w:t>
      </w:r>
      <w:r>
        <w:rPr>
          <w:rStyle w:val="FootnoteReference"/>
        </w:rPr>
        <w:footnoteReference w:id="3"/>
      </w:r>
      <w:r>
        <w:t xml:space="preserve"> Georgia</w:t>
      </w:r>
      <w:r w:rsidR="001A7777">
        <w:t>,</w:t>
      </w:r>
      <w:r>
        <w:t xml:space="preserve"> </w:t>
      </w:r>
      <w:r w:rsidR="00FB1EC3">
        <w:t>with a population of 3.723 million people,</w:t>
      </w:r>
      <w:r w:rsidR="00FB1EC3">
        <w:rPr>
          <w:rStyle w:val="FootnoteReference"/>
        </w:rPr>
        <w:footnoteReference w:id="4"/>
      </w:r>
      <w:r w:rsidR="00FB1EC3">
        <w:t xml:space="preserve"> </w:t>
      </w:r>
      <w:r w:rsidR="00C82B04">
        <w:t>began the fight against COVID-19 on 28 January, one month before the</w:t>
      </w:r>
      <w:r>
        <w:t xml:space="preserve"> first </w:t>
      </w:r>
      <w:r w:rsidR="000617BF">
        <w:t>confirmed</w:t>
      </w:r>
      <w:r w:rsidR="00C82B04">
        <w:t xml:space="preserve"> case of infection was </w:t>
      </w:r>
      <w:r>
        <w:t xml:space="preserve">reported on 26 February, imported through a returning citizen from Iran via Azerbaijan. </w:t>
      </w:r>
      <w:r w:rsidR="00C82B04">
        <w:t xml:space="preserve">State of emergency was declared on the 21 March, </w:t>
      </w:r>
      <w:r w:rsidR="0096656D">
        <w:t>2</w:t>
      </w:r>
      <w:r w:rsidR="00C82B04">
        <w:t xml:space="preserve"> days before c</w:t>
      </w:r>
      <w:r>
        <w:t xml:space="preserve">ommunity transmission </w:t>
      </w:r>
      <w:r w:rsidR="001A7777">
        <w:t>was</w:t>
      </w:r>
      <w:r>
        <w:t xml:space="preserve"> confirmed</w:t>
      </w:r>
      <w:r w:rsidR="00C82B04">
        <w:t>. A</w:t>
      </w:r>
      <w:r>
        <w:t>s of 2</w:t>
      </w:r>
      <w:r w:rsidR="001A7777">
        <w:t>5</w:t>
      </w:r>
      <w:r>
        <w:t xml:space="preserve"> April 2020, a total of 4</w:t>
      </w:r>
      <w:r w:rsidR="001A7777">
        <w:t>56</w:t>
      </w:r>
      <w:r>
        <w:t xml:space="preserve"> cases </w:t>
      </w:r>
      <w:r w:rsidR="00474F23">
        <w:t>had</w:t>
      </w:r>
      <w:r>
        <w:t xml:space="preserve"> </w:t>
      </w:r>
      <w:r w:rsidR="00F515D6">
        <w:t>been</w:t>
      </w:r>
      <w:r>
        <w:t xml:space="preserve"> reported and 5 deaths confirmed.</w:t>
      </w:r>
      <w:r>
        <w:rPr>
          <w:rStyle w:val="FootnoteReference"/>
        </w:rPr>
        <w:footnoteReference w:id="5"/>
      </w:r>
      <w:r w:rsidRPr="00310A7C" w:rsidDel="004E77C2">
        <w:rPr>
          <w:lang w:val="en-PH"/>
        </w:rPr>
        <w:t xml:space="preserve"> </w:t>
      </w:r>
      <w:r w:rsidR="00974FBB">
        <w:t xml:space="preserve">Some </w:t>
      </w:r>
      <w:r w:rsidR="00974FBB" w:rsidRPr="00310A7C">
        <w:rPr>
          <w:lang w:val="en-PH"/>
        </w:rPr>
        <w:t>4,928</w:t>
      </w:r>
      <w:r w:rsidRPr="00310A7C" w:rsidDel="00974FBB">
        <w:rPr>
          <w:lang w:val="en-PH"/>
        </w:rPr>
        <w:t xml:space="preserve"> </w:t>
      </w:r>
      <w:r w:rsidRPr="00310A7C">
        <w:rPr>
          <w:lang w:val="en-PH"/>
        </w:rPr>
        <w:t>people are in a 14-day mandatory quarantine, while 5</w:t>
      </w:r>
      <w:r w:rsidR="004601E4" w:rsidRPr="00310A7C">
        <w:rPr>
          <w:lang w:val="en-PH"/>
        </w:rPr>
        <w:t>22</w:t>
      </w:r>
      <w:r w:rsidRPr="00310A7C">
        <w:rPr>
          <w:lang w:val="en-PH"/>
        </w:rPr>
        <w:t xml:space="preserve"> patients remain under observation in hospitals.</w:t>
      </w:r>
      <w:r>
        <w:rPr>
          <w:rStyle w:val="FootnoteReference"/>
          <w:lang w:val="en-PH"/>
        </w:rPr>
        <w:footnoteReference w:id="6"/>
      </w:r>
      <w:r w:rsidR="0087008A">
        <w:t xml:space="preserve"> </w:t>
      </w:r>
      <w:r w:rsidR="00C6313D">
        <w:t>According to</w:t>
      </w:r>
      <w:r w:rsidR="007D7021">
        <w:t xml:space="preserve"> ADB staff</w:t>
      </w:r>
      <w:r w:rsidR="00C6313D">
        <w:t xml:space="preserve"> estimates, </w:t>
      </w:r>
      <w:r w:rsidR="00983FFE">
        <w:t xml:space="preserve">more </w:t>
      </w:r>
      <w:r w:rsidR="00C3334F">
        <w:t>than 70</w:t>
      </w:r>
      <w:r w:rsidR="0029640E">
        <w:t>,</w:t>
      </w:r>
      <w:r w:rsidR="00C3334F">
        <w:t>000</w:t>
      </w:r>
      <w:r w:rsidR="00611465">
        <w:t xml:space="preserve"> people </w:t>
      </w:r>
      <w:r w:rsidR="00983FFE">
        <w:t xml:space="preserve">could </w:t>
      </w:r>
      <w:r w:rsidR="00611465">
        <w:t xml:space="preserve">require hospitalization </w:t>
      </w:r>
      <w:r w:rsidR="000E633F">
        <w:t xml:space="preserve">and nearly 20,000 </w:t>
      </w:r>
      <w:r w:rsidR="007D7021">
        <w:t>could</w:t>
      </w:r>
      <w:r w:rsidR="002F2688">
        <w:t xml:space="preserve"> require intensive care, </w:t>
      </w:r>
      <w:r w:rsidR="00931A2C">
        <w:t xml:space="preserve">which would </w:t>
      </w:r>
      <w:r w:rsidR="002F2688">
        <w:t>o</w:t>
      </w:r>
      <w:r w:rsidR="00202C49">
        <w:t>v</w:t>
      </w:r>
      <w:r w:rsidR="002F2688">
        <w:t xml:space="preserve">erwhelm </w:t>
      </w:r>
      <w:r w:rsidR="00931A2C">
        <w:t>the health system.</w:t>
      </w:r>
      <w:r w:rsidR="00931A2C">
        <w:rPr>
          <w:rStyle w:val="FootnoteReference"/>
        </w:rPr>
        <w:footnoteReference w:id="7"/>
      </w:r>
      <w:r w:rsidR="00931A2C">
        <w:t xml:space="preserve"> </w:t>
      </w:r>
      <w:r w:rsidR="002F2BD1">
        <w:t>The increasing burden of non-communicable diseases (NCDs) poses an additional risk to the populations’ vulnerability to the COVID-19 pandemic as evidence from other countries suggests.</w:t>
      </w:r>
      <w:r w:rsidR="00DB786D">
        <w:rPr>
          <w:rStyle w:val="FootnoteReference"/>
        </w:rPr>
        <w:footnoteReference w:id="8"/>
      </w:r>
      <w:r w:rsidR="00DB786D" w:rsidRPr="00DB786D">
        <w:rPr>
          <w:vertAlign w:val="superscript"/>
        </w:rPr>
        <w:t>,</w:t>
      </w:r>
      <w:r w:rsidR="003D25A3">
        <w:rPr>
          <w:rStyle w:val="FootnoteReference"/>
        </w:rPr>
        <w:footnoteReference w:id="9"/>
      </w:r>
      <w:r w:rsidR="001848C2" w:rsidRPr="001848C2">
        <w:t xml:space="preserve"> </w:t>
      </w:r>
      <w:r w:rsidR="001848C2">
        <w:t xml:space="preserve">This means that strong prevention measures </w:t>
      </w:r>
      <w:r w:rsidR="003E62BC">
        <w:t xml:space="preserve">and further </w:t>
      </w:r>
      <w:r w:rsidR="001848C2">
        <w:t xml:space="preserve">strengthening </w:t>
      </w:r>
      <w:r w:rsidR="003E62BC">
        <w:t xml:space="preserve">of </w:t>
      </w:r>
      <w:r w:rsidR="001848C2">
        <w:t>the health system’s capacity to handle more cases of COVID-19 in the medium-term are needed.</w:t>
      </w:r>
    </w:p>
    <w:p w14:paraId="53C304DC" w14:textId="77777777" w:rsidR="00310A7C" w:rsidRPr="00310A7C" w:rsidRDefault="00310A7C" w:rsidP="00310A7C">
      <w:pPr>
        <w:pStyle w:val="ListParagraph"/>
        <w:ind w:left="0"/>
        <w:jc w:val="both"/>
        <w:rPr>
          <w:lang w:val="en-PH"/>
        </w:rPr>
      </w:pPr>
    </w:p>
    <w:p w14:paraId="2D3E0759" w14:textId="32A216EC" w:rsidR="00DD0D71" w:rsidRPr="00310A7C" w:rsidRDefault="00DD0D71" w:rsidP="00EA2F1B">
      <w:pPr>
        <w:pStyle w:val="ListParagraph"/>
        <w:numPr>
          <w:ilvl w:val="0"/>
          <w:numId w:val="6"/>
        </w:numPr>
        <w:ind w:left="0" w:firstLine="0"/>
        <w:jc w:val="both"/>
        <w:rPr>
          <w:lang w:val="en-PH"/>
        </w:rPr>
      </w:pPr>
      <w:r w:rsidRPr="00310A7C">
        <w:rPr>
          <w:b/>
          <w:bCs/>
        </w:rPr>
        <w:t xml:space="preserve">Vulnerability </w:t>
      </w:r>
      <w:r w:rsidR="004A3A0A" w:rsidRPr="00310A7C">
        <w:rPr>
          <w:b/>
          <w:bCs/>
        </w:rPr>
        <w:t xml:space="preserve">of the </w:t>
      </w:r>
      <w:r w:rsidRPr="00310A7C">
        <w:rPr>
          <w:b/>
          <w:bCs/>
        </w:rPr>
        <w:t xml:space="preserve">public health system to </w:t>
      </w:r>
      <w:r w:rsidR="004A3A0A" w:rsidRPr="00310A7C">
        <w:rPr>
          <w:b/>
          <w:bCs/>
        </w:rPr>
        <w:t xml:space="preserve">the </w:t>
      </w:r>
      <w:r w:rsidRPr="00310A7C">
        <w:rPr>
          <w:b/>
          <w:bCs/>
        </w:rPr>
        <w:t>COVID-19 epidemic</w:t>
      </w:r>
      <w:r w:rsidRPr="00154806">
        <w:t>.</w:t>
      </w:r>
      <w:r>
        <w:t xml:space="preserve"> Despite significant improvements in recent years, Georgia’s public health system remains vulnerable to the health burden posed by the </w:t>
      </w:r>
      <w:r w:rsidR="001A745C">
        <w:t xml:space="preserve">COVID-19 </w:t>
      </w:r>
      <w:r>
        <w:t xml:space="preserve">pandemic and crisis. </w:t>
      </w:r>
      <w:r w:rsidR="007B19E4">
        <w:t>A</w:t>
      </w:r>
      <w:r w:rsidR="00BB520F">
        <w:t>ccording to the Global Health Security (GHS) Index,</w:t>
      </w:r>
      <w:r w:rsidR="00BB520F">
        <w:rPr>
          <w:rStyle w:val="FootnoteReference"/>
        </w:rPr>
        <w:footnoteReference w:id="10"/>
      </w:r>
      <w:r w:rsidR="00BB520F">
        <w:t xml:space="preserve"> </w:t>
      </w:r>
      <w:r w:rsidR="007F18EE">
        <w:t xml:space="preserve">Georgia’s </w:t>
      </w:r>
      <w:r w:rsidR="004A41D2">
        <w:t>h</w:t>
      </w:r>
      <w:r>
        <w:t>ealth capacity in clinics, hospitals and community care centers w</w:t>
      </w:r>
      <w:r w:rsidR="00B95F49">
        <w:t>as</w:t>
      </w:r>
      <w:r>
        <w:t xml:space="preserve"> scored as low as 18.3/100</w:t>
      </w:r>
      <w:r w:rsidR="00FF139F">
        <w:t>.</w:t>
      </w:r>
      <w:r w:rsidR="004A41D2">
        <w:rPr>
          <w:rStyle w:val="FootnoteReference"/>
        </w:rPr>
        <w:footnoteReference w:id="11"/>
      </w:r>
      <w:r>
        <w:t xml:space="preserve"> </w:t>
      </w:r>
      <w:r w:rsidR="00FF139F">
        <w:t xml:space="preserve">This is </w:t>
      </w:r>
      <w:r w:rsidR="001753E4">
        <w:t>in part</w:t>
      </w:r>
      <w:r w:rsidR="00FF139F">
        <w:t xml:space="preserve"> driven by</w:t>
      </w:r>
      <w:r>
        <w:t xml:space="preserve"> the country’s low nurs</w:t>
      </w:r>
      <w:r w:rsidR="00202944">
        <w:t>ing staff</w:t>
      </w:r>
      <w:r>
        <w:t xml:space="preserve"> and hospital bed density.</w:t>
      </w:r>
      <w:r w:rsidR="00FF139F">
        <w:rPr>
          <w:rStyle w:val="FootnoteReference"/>
        </w:rPr>
        <w:footnoteReference w:id="12"/>
      </w:r>
      <w:r>
        <w:t xml:space="preserve"> Georgia has only</w:t>
      </w:r>
      <w:r w:rsidR="009C5E71">
        <w:t xml:space="preserve"> </w:t>
      </w:r>
      <w:r>
        <w:t xml:space="preserve">47.3 nurses per 10,000 population and </w:t>
      </w:r>
      <w:r w:rsidR="00E62502">
        <w:t>only</w:t>
      </w:r>
      <w:r>
        <w:t xml:space="preserve"> 26 hospital beds per 10,000 population compared to neighboring countries such as Armenia that has 42 beds per 10</w:t>
      </w:r>
      <w:r w:rsidR="0029640E">
        <w:t>,</w:t>
      </w:r>
      <w:r>
        <w:t>000 population.</w:t>
      </w:r>
      <w:r>
        <w:rPr>
          <w:rStyle w:val="FootnoteReference"/>
        </w:rPr>
        <w:footnoteReference w:id="13"/>
      </w:r>
      <w:r w:rsidR="00453500">
        <w:t xml:space="preserve"> </w:t>
      </w:r>
      <w:r w:rsidR="00EE069D">
        <w:t>Some</w:t>
      </w:r>
      <w:r w:rsidR="00EE069D" w:rsidRPr="005476C8">
        <w:t xml:space="preserve"> 62% </w:t>
      </w:r>
      <w:r w:rsidR="00EE069D">
        <w:t xml:space="preserve">of medical doctors </w:t>
      </w:r>
      <w:r w:rsidR="00EE069D" w:rsidRPr="005476C8">
        <w:t>are women</w:t>
      </w:r>
      <w:r w:rsidR="00EE069D">
        <w:t xml:space="preserve"> putting them at increased risk of infection.</w:t>
      </w:r>
      <w:r w:rsidR="00EE069D" w:rsidRPr="005476C8">
        <w:rPr>
          <w:rStyle w:val="FootnoteReference"/>
        </w:rPr>
        <w:footnoteReference w:id="14"/>
      </w:r>
      <w:r w:rsidR="00EE069D">
        <w:t xml:space="preserve"> </w:t>
      </w:r>
    </w:p>
    <w:p w14:paraId="55A2ECCC" w14:textId="77777777" w:rsidR="00310A7C" w:rsidRPr="00310A7C" w:rsidRDefault="00310A7C" w:rsidP="00310A7C">
      <w:pPr>
        <w:pStyle w:val="ListParagraph"/>
        <w:ind w:left="0"/>
        <w:jc w:val="both"/>
        <w:rPr>
          <w:lang w:val="en-PH"/>
        </w:rPr>
      </w:pPr>
    </w:p>
    <w:p w14:paraId="0B1F3B9D" w14:textId="77D7E0FA" w:rsidR="00D7552F" w:rsidRPr="00695A4A" w:rsidRDefault="00633537" w:rsidP="00EA2F1B">
      <w:pPr>
        <w:pStyle w:val="ListParagraph"/>
        <w:numPr>
          <w:ilvl w:val="0"/>
          <w:numId w:val="6"/>
        </w:numPr>
        <w:ind w:left="0" w:firstLine="0"/>
        <w:jc w:val="both"/>
        <w:rPr>
          <w:lang w:val="en-PH"/>
        </w:rPr>
      </w:pPr>
      <w:r w:rsidRPr="00310A7C">
        <w:rPr>
          <w:b/>
          <w:bCs/>
        </w:rPr>
        <w:t>The outbreak of COVID-19 disrupted a trajectory of strong economic performance and robust macroeconomic fundamentals in Georgia</w:t>
      </w:r>
      <w:r w:rsidR="00DD0D71" w:rsidRPr="00310A7C">
        <w:rPr>
          <w:b/>
          <w:bCs/>
        </w:rPr>
        <w:t>.</w:t>
      </w:r>
      <w:r w:rsidR="00DD0D71" w:rsidRPr="00310A7C">
        <w:rPr>
          <w:rFonts w:cs="Arial"/>
        </w:rPr>
        <w:t xml:space="preserve"> </w:t>
      </w:r>
      <w:r w:rsidR="002E3A23">
        <w:t>Before the COVID-19 pandemic, economic performance was expected to remain strong, with</w:t>
      </w:r>
      <w:r w:rsidR="002E3A23" w:rsidRPr="00BB6731">
        <w:t xml:space="preserve"> </w:t>
      </w:r>
      <w:r w:rsidR="002E3A23">
        <w:t>GDP growth forecasted at 4.3% for 2020 on account of good m</w:t>
      </w:r>
      <w:r w:rsidR="002E3A23" w:rsidRPr="00167167">
        <w:t>acroeconomic management.</w:t>
      </w:r>
      <w:r w:rsidR="002E3A23">
        <w:t xml:space="preserve"> </w:t>
      </w:r>
      <w:r w:rsidR="00D7552F">
        <w:t xml:space="preserve">Georgia’s demonstrable commitment to fiscal discipline </w:t>
      </w:r>
      <w:r w:rsidR="002B645D">
        <w:t xml:space="preserve">translated into </w:t>
      </w:r>
      <w:r w:rsidR="00223071">
        <w:t>robust macroeconomic fundamentals</w:t>
      </w:r>
      <w:r w:rsidR="000372EC">
        <w:t xml:space="preserve"> in </w:t>
      </w:r>
      <w:r w:rsidR="003759BB">
        <w:t>in years leading up to 2020</w:t>
      </w:r>
      <w:r w:rsidR="00223071">
        <w:t xml:space="preserve">. </w:t>
      </w:r>
      <w:r w:rsidR="00845E37">
        <w:t xml:space="preserve">In 2019, Georgia achieved </w:t>
      </w:r>
      <w:r w:rsidR="00845E37" w:rsidRPr="00845E37">
        <w:t>the lowest fiscal deficit</w:t>
      </w:r>
      <w:r w:rsidR="00845E37">
        <w:t xml:space="preserve"> in 10 years</w:t>
      </w:r>
      <w:r w:rsidR="009A72E4">
        <w:t xml:space="preserve"> (at 2.2% of GDP)</w:t>
      </w:r>
      <w:r w:rsidR="00845E37" w:rsidRPr="00845E37">
        <w:t>,</w:t>
      </w:r>
      <w:r w:rsidR="009A72E4">
        <w:t xml:space="preserve"> a historically low</w:t>
      </w:r>
      <w:r w:rsidR="00845E37" w:rsidRPr="00845E37">
        <w:t xml:space="preserve"> current account deficit (at 5.1 percent of GDP), </w:t>
      </w:r>
      <w:r w:rsidR="009A72E4">
        <w:t xml:space="preserve">the </w:t>
      </w:r>
      <w:r w:rsidR="00845E37" w:rsidRPr="00845E37">
        <w:t xml:space="preserve">lowest unemployment rate </w:t>
      </w:r>
      <w:r w:rsidR="009A72E4">
        <w:t xml:space="preserve">since the country’s foundation </w:t>
      </w:r>
      <w:r w:rsidR="00845E37" w:rsidRPr="00845E37">
        <w:t>(at 11.6 percent), and</w:t>
      </w:r>
      <w:r w:rsidR="009A72E4">
        <w:t xml:space="preserve"> the</w:t>
      </w:r>
      <w:r w:rsidR="00845E37" w:rsidRPr="00845E37">
        <w:t xml:space="preserve"> lowest rate of poverty (still high at 20.1 percent, </w:t>
      </w:r>
      <w:r w:rsidR="009A72E4">
        <w:t>but</w:t>
      </w:r>
      <w:r w:rsidR="00845E37" w:rsidRPr="00845E37">
        <w:t xml:space="preserve"> </w:t>
      </w:r>
      <w:r w:rsidR="009A72E4">
        <w:t>nearly</w:t>
      </w:r>
      <w:r w:rsidR="00845E37" w:rsidRPr="00845E37">
        <w:t xml:space="preserve"> halved in comparison to 2007). </w:t>
      </w:r>
      <w:r w:rsidR="00410338">
        <w:t>Public debt-to-GDP remained under its 60% ceiling, at 44.5% and expenditure as a share of GDP at 28.3%. Reforms to revenue administration had led to overperformance in revenue collection, reaching 23.7% of GDP in 2019, and helped maintain the government’s strong fiscal position even as it pursued ambitious public investment and social sector spending.</w:t>
      </w:r>
      <w:r w:rsidR="00410338" w:rsidRPr="00886B30">
        <w:rPr>
          <w:rStyle w:val="FootnoteReference"/>
        </w:rPr>
        <w:t xml:space="preserve"> </w:t>
      </w:r>
      <w:r w:rsidR="00410338">
        <w:rPr>
          <w:rStyle w:val="FootnoteReference"/>
        </w:rPr>
        <w:footnoteReference w:id="15"/>
      </w:r>
      <w:r w:rsidR="00410338" w:rsidRPr="00845E37">
        <w:t xml:space="preserve"> </w:t>
      </w:r>
      <w:r w:rsidR="00845E37" w:rsidRPr="00845E37">
        <w:t xml:space="preserve">As a result, all three main credit rating agencies upgraded Georgia’s sovereign credit rating to BB/Ba2 from BB-/Ba3 referring to improved economic resilience </w:t>
      </w:r>
      <w:r w:rsidR="000440A3">
        <w:t>and sound macroeconomic management as the main driver</w:t>
      </w:r>
      <w:r w:rsidR="00845E37" w:rsidRPr="00845E37">
        <w:t>.</w:t>
      </w:r>
      <w:r w:rsidR="000440A3">
        <w:t xml:space="preserve"> </w:t>
      </w:r>
      <w:r w:rsidR="00D7552F">
        <w:t xml:space="preserve">Government </w:t>
      </w:r>
      <w:r w:rsidR="00B96A19">
        <w:t xml:space="preserve">had </w:t>
      </w:r>
      <w:r w:rsidR="00D7552F">
        <w:t xml:space="preserve">made significant progress towards monitoring and managing the buildup in fiscal risks, by developing a fiscally responsible </w:t>
      </w:r>
      <w:r w:rsidR="00D7552F" w:rsidRPr="7454D1C0">
        <w:t>public–private partnership</w:t>
      </w:r>
      <w:r w:rsidR="00D7552F">
        <w:t xml:space="preserve"> </w:t>
      </w:r>
      <w:r w:rsidR="00D7552F" w:rsidRPr="7454D1C0">
        <w:t>(</w:t>
      </w:r>
      <w:r w:rsidR="00D7552F">
        <w:t>PPP</w:t>
      </w:r>
      <w:r w:rsidR="00D7552F" w:rsidRPr="7454D1C0">
        <w:t>)</w:t>
      </w:r>
      <w:r w:rsidR="00D7552F">
        <w:t xml:space="preserve"> framework and strengthening </w:t>
      </w:r>
      <w:r w:rsidR="00D7552F" w:rsidRPr="7454D1C0">
        <w:t>state-owned enterprise (SOE)</w:t>
      </w:r>
      <w:r w:rsidR="00D7552F">
        <w:t xml:space="preserve"> governance. These reforms contribute</w:t>
      </w:r>
      <w:r w:rsidR="00722AB8">
        <w:t>d</w:t>
      </w:r>
      <w:r w:rsidR="00D7552F">
        <w:t xml:space="preserve"> to a more accurate </w:t>
      </w:r>
      <w:r w:rsidR="008E23B7">
        <w:t xml:space="preserve">and timely </w:t>
      </w:r>
      <w:r w:rsidR="00D7552F">
        <w:t>reporting of fiscal risks and subsequent improvements in debt transparency.</w:t>
      </w:r>
      <w:r w:rsidR="00D7552F" w:rsidRPr="0080736D">
        <w:t xml:space="preserve"> </w:t>
      </w:r>
      <w:r w:rsidR="00D7552F">
        <w:t xml:space="preserve">Monetary policy interventions </w:t>
      </w:r>
      <w:r w:rsidR="00DE4ED6">
        <w:t xml:space="preserve">and exchange rate flexibility </w:t>
      </w:r>
      <w:r w:rsidR="00D7552F">
        <w:t xml:space="preserve">were expected to remain effective in curbing </w:t>
      </w:r>
      <w:r w:rsidR="00DE4ED6">
        <w:t>inflationary pressures</w:t>
      </w:r>
      <w:r w:rsidR="00D7552F">
        <w:t>. The banking sector’s performance was expected to remain robust, with an increase in credit to the private sector, improved asset quality and higher liquidity despite marginally lower profitability.</w:t>
      </w:r>
      <w:r w:rsidR="00D7552F">
        <w:rPr>
          <w:rStyle w:val="FootnoteReference"/>
        </w:rPr>
        <w:footnoteReference w:id="16"/>
      </w:r>
    </w:p>
    <w:p w14:paraId="22F0735B" w14:textId="77777777" w:rsidR="00695A4A" w:rsidRPr="00695A4A" w:rsidRDefault="00695A4A" w:rsidP="002E7FB5">
      <w:pPr>
        <w:pStyle w:val="ListParagraph"/>
        <w:ind w:left="0"/>
        <w:jc w:val="both"/>
        <w:rPr>
          <w:lang w:val="en-PH"/>
        </w:rPr>
      </w:pPr>
    </w:p>
    <w:p w14:paraId="75B626DE" w14:textId="5D015F39" w:rsidR="006F65CD" w:rsidRPr="006D7D9C" w:rsidRDefault="00EC5B60" w:rsidP="00EA2F1B">
      <w:pPr>
        <w:pStyle w:val="ListParagraph"/>
        <w:numPr>
          <w:ilvl w:val="0"/>
          <w:numId w:val="6"/>
        </w:numPr>
        <w:ind w:left="0" w:firstLine="0"/>
        <w:jc w:val="both"/>
        <w:rPr>
          <w:lang w:val="en-PH"/>
        </w:rPr>
      </w:pPr>
      <w:r w:rsidRPr="002E7FB5">
        <w:rPr>
          <w:b/>
          <w:bCs/>
        </w:rPr>
        <w:t>Impact</w:t>
      </w:r>
      <w:r w:rsidR="00633537" w:rsidRPr="002E7FB5">
        <w:rPr>
          <w:b/>
          <w:bCs/>
        </w:rPr>
        <w:t xml:space="preserve"> of COVID-19 on the economy</w:t>
      </w:r>
      <w:r w:rsidR="00DD0D71" w:rsidRPr="002E7FB5">
        <w:rPr>
          <w:b/>
          <w:bCs/>
        </w:rPr>
        <w:t>.</w:t>
      </w:r>
      <w:r w:rsidR="00DD0D71">
        <w:t xml:space="preserve"> Global t</w:t>
      </w:r>
      <w:r w:rsidR="00DD0D71" w:rsidDel="007855E3">
        <w:t xml:space="preserve">ravel restrictions, </w:t>
      </w:r>
      <w:r w:rsidR="000E5C06">
        <w:t>non-pharmaceutical interventions (</w:t>
      </w:r>
      <w:r w:rsidR="00DD0D71">
        <w:t>NPIs</w:t>
      </w:r>
      <w:r w:rsidR="000E5C06">
        <w:t>)</w:t>
      </w:r>
      <w:r w:rsidR="00DD0D71" w:rsidDel="007855E3">
        <w:t>, and the anticipation of a global economic crisis due to the COVID-19 pandemic</w:t>
      </w:r>
      <w:r w:rsidR="00DD0D71">
        <w:t xml:space="preserve"> </w:t>
      </w:r>
      <w:r w:rsidR="00DD0D71" w:rsidDel="007855E3">
        <w:t xml:space="preserve">caused an immediate </w:t>
      </w:r>
      <w:r w:rsidR="00DD0D71">
        <w:t>exogenous</w:t>
      </w:r>
      <w:r w:rsidR="00DD0D71" w:rsidDel="007855E3">
        <w:t xml:space="preserve"> shock on the Georgian economy through four main </w:t>
      </w:r>
      <w:r w:rsidR="00DD0D71" w:rsidDel="007855E3">
        <w:lastRenderedPageBreak/>
        <w:t>transmission channels: (i) slowdown in the tourism sector, (ii) trade disruptions, (iii) capital outflow, and (iv) increase in the cost of finance. The tourism</w:t>
      </w:r>
      <w:r w:rsidR="00DD0D71">
        <w:t xml:space="preserve"> </w:t>
      </w:r>
      <w:r w:rsidR="00DD0D71" w:rsidDel="006B3B28">
        <w:t>sector</w:t>
      </w:r>
      <w:r w:rsidR="00DD0D71">
        <w:t xml:space="preserve">, which </w:t>
      </w:r>
      <w:r w:rsidR="00DD0D71" w:rsidDel="006B3B28">
        <w:t xml:space="preserve">contributed </w:t>
      </w:r>
      <w:r w:rsidR="00DD0D71" w:rsidDel="007855E3">
        <w:t xml:space="preserve">8.1% </w:t>
      </w:r>
      <w:r w:rsidR="00DD0D71" w:rsidDel="006B3B28">
        <w:t xml:space="preserve">to </w:t>
      </w:r>
      <w:r w:rsidR="00DD0D71" w:rsidDel="007855E3">
        <w:t>GDP in 2019</w:t>
      </w:r>
      <w:r w:rsidR="00DD0D71">
        <w:t>,</w:t>
      </w:r>
      <w:r w:rsidR="00DD0D71" w:rsidDel="006B3B28">
        <w:t xml:space="preserve"> </w:t>
      </w:r>
      <w:r w:rsidR="00DD0D71">
        <w:t xml:space="preserve">was </w:t>
      </w:r>
      <w:r w:rsidR="00DD0D71" w:rsidDel="007855E3">
        <w:t>severely hit by travel restrictions and recorded a 58.6% decline in international visitor trips in March 2020, year-on-year.</w:t>
      </w:r>
      <w:r w:rsidR="00DD0D71">
        <w:rPr>
          <w:rStyle w:val="FootnoteReference"/>
        </w:rPr>
        <w:footnoteReference w:id="17"/>
      </w:r>
      <w:r w:rsidR="00086B32">
        <w:rPr>
          <w:rStyle w:val="FootnoteReference"/>
        </w:rPr>
        <w:footnoteReference w:id="18"/>
      </w:r>
      <w:r w:rsidR="00DD0D71">
        <w:t xml:space="preserve"> </w:t>
      </w:r>
      <w:r w:rsidR="00DD0D71" w:rsidDel="007855E3">
        <w:t>Contracted international trade affects exports and imports.</w:t>
      </w:r>
      <w:r w:rsidR="00DD0D71">
        <w:rPr>
          <w:rStyle w:val="FootnoteReference"/>
        </w:rPr>
        <w:footnoteReference w:id="19"/>
      </w:r>
      <w:r w:rsidR="00DD0D71">
        <w:t xml:space="preserve"> </w:t>
      </w:r>
      <w:r w:rsidR="00DD0D71" w:rsidDel="007855E3">
        <w:t>Reduced external demand is expected to shrink</w:t>
      </w:r>
      <w:r w:rsidR="00DD0D71">
        <w:t xml:space="preserve"> </w:t>
      </w:r>
      <w:r w:rsidR="00DD0D71" w:rsidDel="007855E3">
        <w:t xml:space="preserve">exports by </w:t>
      </w:r>
      <w:r w:rsidR="00EC1AF2">
        <w:t>25</w:t>
      </w:r>
      <w:r w:rsidR="00DD0D71" w:rsidDel="007855E3">
        <w:t>.0% in 2020. Imports will reduce by</w:t>
      </w:r>
      <w:r w:rsidR="00DD0D71">
        <w:t xml:space="preserve"> </w:t>
      </w:r>
      <w:r w:rsidR="00DD0D71" w:rsidDel="007855E3">
        <w:t>29.3% and</w:t>
      </w:r>
      <w:r w:rsidR="00DD0D71">
        <w:t xml:space="preserve"> </w:t>
      </w:r>
      <w:r w:rsidR="00DD0D71" w:rsidDel="007855E3">
        <w:t>affect availability of intermediary goods for manufacturing.</w:t>
      </w:r>
      <w:r w:rsidR="00DD0D71">
        <w:t xml:space="preserve"> </w:t>
      </w:r>
      <w:r w:rsidR="00DD0D71" w:rsidDel="007855E3">
        <w:t>Foreign direct investment is currently expected to decline by 2</w:t>
      </w:r>
      <w:r w:rsidR="004B32BE">
        <w:t>0</w:t>
      </w:r>
      <w:r w:rsidR="00DD0D71" w:rsidDel="007855E3">
        <w:t>.</w:t>
      </w:r>
      <w:r w:rsidR="004B32BE">
        <w:t>8</w:t>
      </w:r>
      <w:r w:rsidR="00DD0D71" w:rsidDel="007855E3">
        <w:t>% in 2020, compared to 2019.</w:t>
      </w:r>
      <w:r w:rsidR="004B32BE">
        <w:rPr>
          <w:rStyle w:val="FootnoteReference"/>
        </w:rPr>
        <w:footnoteReference w:id="20"/>
      </w:r>
      <w:r w:rsidR="000A3854">
        <w:t xml:space="preserve"> </w:t>
      </w:r>
      <w:r w:rsidR="00DD0D71" w:rsidDel="007855E3">
        <w:t>Additionally, remittances are expected to reduce by 15% in 2020 compared to 2019</w:t>
      </w:r>
      <w:r w:rsidR="002C2E88">
        <w:t xml:space="preserve"> and </w:t>
      </w:r>
      <w:r w:rsidR="00DD0D71" w:rsidDel="007855E3">
        <w:t>have contracted by 9.0% in March 2020</w:t>
      </w:r>
      <w:r w:rsidR="002C2E88">
        <w:t xml:space="preserve"> compared with March 2019</w:t>
      </w:r>
      <w:r w:rsidR="00DD0D71" w:rsidDel="007855E3">
        <w:t>.</w:t>
      </w:r>
      <w:r w:rsidR="00DD0D71">
        <w:rPr>
          <w:rStyle w:val="FootnoteReference"/>
        </w:rPr>
        <w:footnoteReference w:id="21"/>
      </w:r>
      <w:r w:rsidR="0076346E">
        <w:t xml:space="preserve"> Contagion effects of the global recessionary shock caused by COVID-19 will be significantly compounded by the effect of containment measures and lockdown imposed by the government since the declaration of State of Emergency in March 2020. These are likely to lead </w:t>
      </w:r>
      <w:r w:rsidR="004215F9">
        <w:t xml:space="preserve">to </w:t>
      </w:r>
      <w:r w:rsidR="0076346E">
        <w:t>a sharp decline in aggregate domestic demand</w:t>
      </w:r>
      <w:r w:rsidR="009370EC">
        <w:rPr>
          <w:rStyle w:val="FootnoteReference"/>
        </w:rPr>
        <w:footnoteReference w:id="22"/>
      </w:r>
      <w:r w:rsidR="0076346E">
        <w:t xml:space="preserve">, which </w:t>
      </w:r>
      <w:r w:rsidR="00C517A4">
        <w:t>accounted for</w:t>
      </w:r>
      <w:r w:rsidR="0076346E">
        <w:t xml:space="preserve"> 65% of GDP in </w:t>
      </w:r>
      <w:r w:rsidR="001A34AD">
        <w:t>2019</w:t>
      </w:r>
      <w:r w:rsidR="00C517A4">
        <w:t>,</w:t>
      </w:r>
      <w:r w:rsidR="001A34AD">
        <w:t xml:space="preserve"> and</w:t>
      </w:r>
      <w:r w:rsidR="0076346E">
        <w:t xml:space="preserve"> is expected to cause </w:t>
      </w:r>
      <w:r w:rsidR="0076346E" w:rsidRPr="0076346E">
        <w:t>cancellation and delays of investments, affecting t</w:t>
      </w:r>
      <w:r w:rsidR="0076346E" w:rsidRPr="009370EC">
        <w:t>he business environment and investor confidence. Domestic production will also suffer, both as a result of NPIs as well as of disruptions to global value chains, trade, and investment, exacerbating the recessionary economic and social impact of the crisis.</w:t>
      </w:r>
      <w:r w:rsidR="0076346E">
        <w:t xml:space="preserve"> </w:t>
      </w:r>
      <w:r w:rsidR="00DD0D71">
        <w:t xml:space="preserve">Updated estimates by the International Monetary Fund (IMF) and the Ministry of Finance (MOF) predict </w:t>
      </w:r>
      <w:r w:rsidR="00F37398">
        <w:t xml:space="preserve">the current account deficit to widen </w:t>
      </w:r>
      <w:r w:rsidR="00A33A02">
        <w:t>to -11.</w:t>
      </w:r>
      <w:r w:rsidR="00673079">
        <w:t xml:space="preserve">3% </w:t>
      </w:r>
      <w:r w:rsidR="00C6490E">
        <w:t xml:space="preserve">of GDP </w:t>
      </w:r>
      <w:r w:rsidR="00673079">
        <w:t xml:space="preserve">in 2020, from the historically low record of -5.1% in 2019 and </w:t>
      </w:r>
      <w:r w:rsidR="00C6490E">
        <w:t xml:space="preserve">an estimated -4.9% in 2020. </w:t>
      </w:r>
      <w:r w:rsidR="00DD0D71">
        <w:t xml:space="preserve">real GDP to contract by 4% in </w:t>
      </w:r>
      <w:r w:rsidR="006F65CD">
        <w:t>2020 - a sharp turn compared to the earlier estimated 4.3% growth.</w:t>
      </w:r>
      <w:r w:rsidR="006F65CD">
        <w:rPr>
          <w:rStyle w:val="FootnoteReference"/>
        </w:rPr>
        <w:footnoteReference w:id="23"/>
      </w:r>
    </w:p>
    <w:p w14:paraId="76F62BD1" w14:textId="46024DF8" w:rsidR="0034302E" w:rsidRPr="00F05B9C" w:rsidRDefault="0034302E" w:rsidP="00F05B9C">
      <w:pPr>
        <w:pStyle w:val="TOC3"/>
        <w:numPr>
          <w:ilvl w:val="0"/>
          <w:numId w:val="0"/>
        </w:numPr>
        <w:spacing w:before="0" w:after="0"/>
        <w:rPr>
          <w:highlight w:val="yellow"/>
          <w:u w:val="single"/>
        </w:rPr>
      </w:pPr>
    </w:p>
    <w:p w14:paraId="6201AA4B" w14:textId="4CA41E90" w:rsidR="00091E7C" w:rsidRPr="00571C2E" w:rsidRDefault="0034302E" w:rsidP="00EA2F1B">
      <w:pPr>
        <w:pStyle w:val="ListParagraph"/>
        <w:numPr>
          <w:ilvl w:val="0"/>
          <w:numId w:val="6"/>
        </w:numPr>
        <w:ind w:left="0" w:firstLine="0"/>
        <w:jc w:val="both"/>
        <w:rPr>
          <w:lang w:val="en-PH"/>
        </w:rPr>
      </w:pPr>
      <w:r w:rsidRPr="00571C2E">
        <w:rPr>
          <w:b/>
        </w:rPr>
        <w:t xml:space="preserve">Impact </w:t>
      </w:r>
      <w:r w:rsidR="00EC5B60" w:rsidRPr="00571C2E">
        <w:rPr>
          <w:b/>
          <w:bCs/>
        </w:rPr>
        <w:t>of COVID-19</w:t>
      </w:r>
      <w:r w:rsidRPr="00571C2E">
        <w:rPr>
          <w:b/>
        </w:rPr>
        <w:t xml:space="preserve"> on </w:t>
      </w:r>
      <w:r w:rsidR="00F24ACA" w:rsidRPr="00571C2E">
        <w:rPr>
          <w:b/>
          <w:bCs/>
        </w:rPr>
        <w:t>public</w:t>
      </w:r>
      <w:r w:rsidRPr="00571C2E">
        <w:rPr>
          <w:b/>
        </w:rPr>
        <w:t xml:space="preserve"> finances</w:t>
      </w:r>
      <w:r w:rsidRPr="009919FA">
        <w:t>.</w:t>
      </w:r>
      <w:r w:rsidRPr="00571C2E">
        <w:rPr>
          <w:u w:val="single"/>
        </w:rPr>
        <w:t xml:space="preserve"> </w:t>
      </w:r>
      <w:r w:rsidRPr="00E35220">
        <w:t>The</w:t>
      </w:r>
      <w:r>
        <w:t xml:space="preserve"> impact on state finances is expected to be significant. Recent estimates suggest state revenues to decrease by $452 million because of COVID-19. This sharp decline is driven by a</w:t>
      </w:r>
      <w:r w:rsidR="00386EBC">
        <w:t>n</w:t>
      </w:r>
      <w:r>
        <w:t xml:space="preserve"> </w:t>
      </w:r>
      <w:r w:rsidR="00FD4B08">
        <w:t xml:space="preserve">expected </w:t>
      </w:r>
      <w:r>
        <w:t xml:space="preserve">fall in the tax-to-GDP </w:t>
      </w:r>
      <w:r w:rsidR="00980173">
        <w:t>ratio from 23</w:t>
      </w:r>
      <w:r w:rsidR="00971DC9">
        <w:t>.7</w:t>
      </w:r>
      <w:r w:rsidR="00980173">
        <w:t>% to 21.4%</w:t>
      </w:r>
      <w:r w:rsidR="00FD4B08">
        <w:t xml:space="preserve"> </w:t>
      </w:r>
      <w:r>
        <w:t xml:space="preserve">due to slowdown in economic activity. In turn, public expenditure will increase to 32.9% of GDP, compared with the original estimate of 28.3% for 2020. Increases in public expenditure, combined with a sharp decline in public revenue as a result of COVID-19, will widen the public deficit, from 2.2% to 8.1% of GDP in 2020. Public debt-to-GDP ratio will, as a result, rise from 44.5% </w:t>
      </w:r>
      <w:r w:rsidR="001E0388">
        <w:t xml:space="preserve">in 2019 </w:t>
      </w:r>
      <w:r>
        <w:t xml:space="preserve">to 62.5% </w:t>
      </w:r>
      <w:r w:rsidR="001E0388">
        <w:t>in 2020</w:t>
      </w:r>
      <w:r>
        <w:t xml:space="preserve"> to help meet the estimated financing gap of $1.</w:t>
      </w:r>
      <w:r w:rsidR="00EE4303">
        <w:t>533</w:t>
      </w:r>
      <w:r>
        <w:t xml:space="preserve"> billion which will emerge as a result of COVID-19, its impact on the economy and the cost of government response. </w:t>
      </w:r>
      <w:r w:rsidDel="007855E3">
        <w:t>Deteriorating external balances</w:t>
      </w:r>
      <w:r>
        <w:t xml:space="preserve"> </w:t>
      </w:r>
      <w:r w:rsidDel="007855E3">
        <w:t>are already resulting in</w:t>
      </w:r>
      <w:r>
        <w:t xml:space="preserve"> </w:t>
      </w:r>
      <w:r w:rsidDel="007855E3">
        <w:t>increased pressure on exchange rate</w:t>
      </w:r>
      <w:r>
        <w:t>s</w:t>
      </w:r>
      <w:r w:rsidDel="007855E3">
        <w:t xml:space="preserve"> and higher yield spreads with US Treasury bonds, making access to international financing more expensive</w:t>
      </w:r>
      <w:r>
        <w:t>.</w:t>
      </w:r>
      <w:r>
        <w:rPr>
          <w:rStyle w:val="FootnoteReference"/>
        </w:rPr>
        <w:footnoteReference w:id="24"/>
      </w:r>
      <w:r>
        <w:t xml:space="preserve"> </w:t>
      </w:r>
    </w:p>
    <w:p w14:paraId="0F2C9791" w14:textId="77777777" w:rsidR="00091E7C" w:rsidRPr="00091E7C" w:rsidRDefault="00091E7C" w:rsidP="00091E7C"/>
    <w:p w14:paraId="5DD1CA1D" w14:textId="54439905" w:rsidR="006469B8" w:rsidRPr="006469B8" w:rsidRDefault="00DD0D71" w:rsidP="00AE03D2">
      <w:pPr>
        <w:pStyle w:val="ListParagraph"/>
        <w:numPr>
          <w:ilvl w:val="0"/>
          <w:numId w:val="6"/>
        </w:numPr>
        <w:ind w:left="0" w:firstLine="0"/>
        <w:jc w:val="both"/>
        <w:rPr>
          <w:lang w:val="en-PH"/>
        </w:rPr>
      </w:pPr>
      <w:r w:rsidRPr="00571C2E">
        <w:rPr>
          <w:b/>
          <w:bCs/>
        </w:rPr>
        <w:t xml:space="preserve">Impact </w:t>
      </w:r>
      <w:r w:rsidR="00EC5B60" w:rsidRPr="00571C2E">
        <w:rPr>
          <w:b/>
          <w:bCs/>
        </w:rPr>
        <w:t xml:space="preserve">of COVID-19 on </w:t>
      </w:r>
      <w:r w:rsidRPr="00571C2E">
        <w:rPr>
          <w:b/>
          <w:bCs/>
        </w:rPr>
        <w:t>unemployment</w:t>
      </w:r>
      <w:r w:rsidR="00E35220" w:rsidRPr="00571C2E">
        <w:rPr>
          <w:b/>
          <w:bCs/>
        </w:rPr>
        <w:t xml:space="preserve">, </w:t>
      </w:r>
      <w:r w:rsidRPr="00571C2E">
        <w:rPr>
          <w:b/>
          <w:bCs/>
        </w:rPr>
        <w:t>poverty</w:t>
      </w:r>
      <w:r w:rsidR="00E35220" w:rsidRPr="00571C2E">
        <w:rPr>
          <w:b/>
          <w:bCs/>
        </w:rPr>
        <w:t xml:space="preserve"> and gender equality</w:t>
      </w:r>
      <w:r w:rsidR="00F24ACA" w:rsidRPr="00571C2E">
        <w:rPr>
          <w:b/>
          <w:bCs/>
        </w:rPr>
        <w:t>.</w:t>
      </w:r>
      <w:r>
        <w:t xml:space="preserve"> Under </w:t>
      </w:r>
      <w:r w:rsidR="009039E9">
        <w:t>a</w:t>
      </w:r>
      <w:r>
        <w:t xml:space="preserve"> worst case scenario and without public intervention to avoid mass retrenchment, unemployment could </w:t>
      </w:r>
      <w:r>
        <w:lastRenderedPageBreak/>
        <w:t>almost triple</w:t>
      </w:r>
      <w:r w:rsidR="000E5A5A">
        <w:t>,</w:t>
      </w:r>
      <w:r>
        <w:rPr>
          <w:rStyle w:val="FootnoteReference"/>
        </w:rPr>
        <w:footnoteReference w:id="25"/>
      </w:r>
      <w:r>
        <w:t xml:space="preserve"> from 11.6% in 2019 to 31.5% in 2020.</w:t>
      </w:r>
      <w:r>
        <w:rPr>
          <w:rStyle w:val="FootnoteReference"/>
        </w:rPr>
        <w:footnoteReference w:id="26"/>
      </w:r>
      <w:r>
        <w:t xml:space="preserve"> </w:t>
      </w:r>
      <w:r w:rsidR="002D2196">
        <w:t xml:space="preserve">Restrictions on </w:t>
      </w:r>
      <w:r w:rsidR="006C286B">
        <w:t>economic activity across almost all industries</w:t>
      </w:r>
      <w:r w:rsidR="002D2196">
        <w:t xml:space="preserve"> place hundreds of thousands at risk, either by downward adjustments to income or working hours, or by completely losing their jobs.</w:t>
      </w:r>
      <w:r w:rsidR="006C286B">
        <w:t xml:space="preserve"> </w:t>
      </w:r>
      <w:r w:rsidR="00837D49" w:rsidRPr="00837D49">
        <w:t xml:space="preserve">A total of 381,548 </w:t>
      </w:r>
      <w:r w:rsidR="00A14C07">
        <w:t>workers</w:t>
      </w:r>
      <w:r w:rsidR="007E3696">
        <w:rPr>
          <w:rStyle w:val="FootnoteReference"/>
        </w:rPr>
        <w:footnoteReference w:id="27"/>
      </w:r>
      <w:r w:rsidR="00DB30BD">
        <w:t xml:space="preserve">, or </w:t>
      </w:r>
      <w:r w:rsidR="00FF6478">
        <w:t xml:space="preserve">23% of all hired and </w:t>
      </w:r>
      <w:r w:rsidR="006959BB">
        <w:t>self-employed</w:t>
      </w:r>
      <w:r w:rsidR="00FF6478">
        <w:t xml:space="preserve"> workers</w:t>
      </w:r>
      <w:r w:rsidR="007E3696">
        <w:t>,</w:t>
      </w:r>
      <w:r w:rsidR="00305320">
        <w:t xml:space="preserve"> </w:t>
      </w:r>
      <w:r w:rsidR="00837D49" w:rsidRPr="00837D49">
        <w:t>are at high risk of job loss as a result of the COVID-19 crisis.</w:t>
      </w:r>
      <w:r w:rsidR="00D51902">
        <w:rPr>
          <w:rStyle w:val="FootnoteReference"/>
        </w:rPr>
        <w:footnoteReference w:id="28"/>
      </w:r>
      <w:r w:rsidR="00BC1891">
        <w:t xml:space="preserve"> </w:t>
      </w:r>
      <w:r>
        <w:t xml:space="preserve">Such sharp increases in unemployment </w:t>
      </w:r>
      <w:r w:rsidR="000B2280">
        <w:t>have the potential of</w:t>
      </w:r>
      <w:r>
        <w:t xml:space="preserve"> eradicat</w:t>
      </w:r>
      <w:r w:rsidR="000B2280">
        <w:t>ing</w:t>
      </w:r>
      <w:r>
        <w:t xml:space="preserve"> years of inclusive economic growth, potentially reversing a decade-long decline in absolute poverty.</w:t>
      </w:r>
      <w:r>
        <w:rPr>
          <w:rStyle w:val="FootnoteReference"/>
        </w:rPr>
        <w:footnoteReference w:id="29"/>
      </w:r>
      <w:r>
        <w:t xml:space="preserve"> </w:t>
      </w:r>
      <w:r w:rsidR="001F3739" w:rsidRPr="001F3739">
        <w:t xml:space="preserve">While absolute poverty ($1.9/day) has declined sharply from 12.2% in 2010 to </w:t>
      </w:r>
      <w:r w:rsidR="0005596E">
        <w:t>3</w:t>
      </w:r>
      <w:r w:rsidR="001F3739" w:rsidRPr="001F3739">
        <w:t>.</w:t>
      </w:r>
      <w:r w:rsidR="0005596E">
        <w:t>7</w:t>
      </w:r>
      <w:r w:rsidR="001F3739" w:rsidRPr="001F3739">
        <w:t>% in 201</w:t>
      </w:r>
      <w:r w:rsidR="0005596E">
        <w:t>9</w:t>
      </w:r>
      <w:r w:rsidR="00DF311F">
        <w:t>,</w:t>
      </w:r>
      <w:r w:rsidR="009A7A51">
        <w:t xml:space="preserve"> </w:t>
      </w:r>
      <w:r w:rsidR="002F1434">
        <w:t xml:space="preserve">the effects of COVID-19 </w:t>
      </w:r>
      <w:r w:rsidR="00345F45">
        <w:t xml:space="preserve">is </w:t>
      </w:r>
      <w:r w:rsidR="00672B50">
        <w:t xml:space="preserve">expected to lead to a rise in poverty incidence </w:t>
      </w:r>
      <w:r w:rsidR="00AD7DB1">
        <w:t xml:space="preserve">to </w:t>
      </w:r>
      <w:r w:rsidR="00B33D45">
        <w:t>4.3%</w:t>
      </w:r>
      <w:r w:rsidR="00A13E98">
        <w:t>, under a best case scenario, or 6.8%, under a worst case scenario.</w:t>
      </w:r>
      <w:r w:rsidR="00A13E98">
        <w:rPr>
          <w:rStyle w:val="FootnoteReference"/>
        </w:rPr>
        <w:footnoteReference w:id="30"/>
      </w:r>
      <w:r w:rsidR="002F1434">
        <w:t xml:space="preserve"> </w:t>
      </w:r>
      <w:r w:rsidR="000D413E">
        <w:t>Furthermore,</w:t>
      </w:r>
      <w:r w:rsidR="00DF311F" w:rsidRPr="00F823E9">
        <w:t xml:space="preserve"> </w:t>
      </w:r>
      <w:r w:rsidR="00F823E9" w:rsidRPr="00F823E9">
        <w:t>the</w:t>
      </w:r>
      <w:r w:rsidR="00281C23" w:rsidRPr="00F823E9">
        <w:t xml:space="preserve"> national poverty line</w:t>
      </w:r>
      <w:r w:rsidR="00DF311F" w:rsidRPr="00F823E9">
        <w:t xml:space="preserve"> indicates that one in 5 Georgians (20.1% in 2018) still lives in poverty</w:t>
      </w:r>
      <w:r w:rsidR="00F823E9" w:rsidRPr="00F823E9">
        <w:t>.</w:t>
      </w:r>
      <w:r w:rsidR="00DF311F" w:rsidRPr="00F823E9">
        <w:t xml:space="preserve"> </w:t>
      </w:r>
      <w:r w:rsidR="00445190">
        <w:t>As of 2018,</w:t>
      </w:r>
      <w:r w:rsidR="001F3739">
        <w:t xml:space="preserve"> </w:t>
      </w:r>
      <w:r>
        <w:t>4</w:t>
      </w:r>
      <w:r w:rsidR="00D6527D">
        <w:t>7</w:t>
      </w:r>
      <w:r>
        <w:t>% of Georgians</w:t>
      </w:r>
      <w:r w:rsidRPr="00227C14">
        <w:t xml:space="preserve"> </w:t>
      </w:r>
      <w:r w:rsidR="00445190">
        <w:t>were estimated to remain vulnerable to poverty</w:t>
      </w:r>
      <w:r w:rsidR="00445190">
        <w:rPr>
          <w:rStyle w:val="FootnoteReference"/>
        </w:rPr>
        <w:footnoteReference w:id="31"/>
      </w:r>
      <w:r>
        <w:t>, with monthly incomes</w:t>
      </w:r>
      <w:r w:rsidRPr="00227C14">
        <w:t xml:space="preserve"> precariously close to the poverty line.</w:t>
      </w:r>
      <w:r>
        <w:rPr>
          <w:rStyle w:val="FootnoteReference"/>
        </w:rPr>
        <w:footnoteReference w:id="32"/>
      </w:r>
      <w:r>
        <w:t xml:space="preserve"> </w:t>
      </w:r>
      <w:r w:rsidR="00851F72">
        <w:t>High d</w:t>
      </w:r>
      <w:r>
        <w:t xml:space="preserve">ependence on labor income implies that even a small increase in the unemployment rate could push many households into poverty, </w:t>
      </w:r>
      <w:r w:rsidR="000B2280">
        <w:t xml:space="preserve">starting with </w:t>
      </w:r>
      <w:r>
        <w:t>already vulnerable households.</w:t>
      </w:r>
      <w:r>
        <w:rPr>
          <w:rStyle w:val="FootnoteReference"/>
        </w:rPr>
        <w:footnoteReference w:id="33"/>
      </w:r>
      <w:r>
        <w:t xml:space="preserve"> The loss of </w:t>
      </w:r>
      <w:r w:rsidR="00E35220">
        <w:t>labor income combined with a reduction in remittances</w:t>
      </w:r>
      <w:r>
        <w:t xml:space="preserve"> </w:t>
      </w:r>
      <w:r w:rsidRPr="00E769C5">
        <w:t>will have</w:t>
      </w:r>
      <w:r>
        <w:t xml:space="preserve"> a</w:t>
      </w:r>
      <w:r w:rsidRPr="00E769C5">
        <w:t xml:space="preserve"> direct bearing on </w:t>
      </w:r>
      <w:r>
        <w:t>domestic</w:t>
      </w:r>
      <w:r w:rsidRPr="00E769C5">
        <w:t xml:space="preserve"> consumption</w:t>
      </w:r>
      <w:r w:rsidR="009370EC">
        <w:t xml:space="preserve"> </w:t>
      </w:r>
      <w:r>
        <w:t xml:space="preserve">and further threaten employment and incomes. </w:t>
      </w:r>
      <w:r w:rsidR="006469B8">
        <w:t xml:space="preserve">The </w:t>
      </w:r>
      <w:r w:rsidR="006469B8" w:rsidRPr="00837D49">
        <w:t xml:space="preserve">23% of </w:t>
      </w:r>
      <w:r w:rsidR="006469B8">
        <w:t>Georgians that depend on income from informal labor for their livelihoods</w:t>
      </w:r>
      <w:r w:rsidR="006469B8">
        <w:rPr>
          <w:rStyle w:val="FootnoteReference"/>
        </w:rPr>
        <w:footnoteReference w:id="34"/>
      </w:r>
      <w:r w:rsidR="006469B8">
        <w:t xml:space="preserve"> are also expected to suffer from the impact of COVID-19. </w:t>
      </w:r>
    </w:p>
    <w:p w14:paraId="40523087" w14:textId="77777777" w:rsidR="006469B8" w:rsidRPr="006469B8" w:rsidRDefault="006469B8" w:rsidP="006469B8">
      <w:pPr>
        <w:pStyle w:val="ListParagraph"/>
        <w:ind w:left="0"/>
        <w:jc w:val="both"/>
        <w:rPr>
          <w:lang w:val="en-PH"/>
        </w:rPr>
      </w:pPr>
    </w:p>
    <w:p w14:paraId="3653254E" w14:textId="4670509F" w:rsidR="00AE03D2" w:rsidRPr="00D2449E" w:rsidRDefault="00E35220" w:rsidP="00AE03D2">
      <w:pPr>
        <w:pStyle w:val="ListParagraph"/>
        <w:numPr>
          <w:ilvl w:val="0"/>
          <w:numId w:val="6"/>
        </w:numPr>
        <w:ind w:left="0" w:firstLine="0"/>
        <w:jc w:val="both"/>
        <w:rPr>
          <w:lang w:val="en-PH"/>
        </w:rPr>
      </w:pPr>
      <w:r w:rsidRPr="006469B8">
        <w:rPr>
          <w:b/>
        </w:rPr>
        <w:t>The economic impact of COVID-19 is also expected to contribute to gender economic imbalances.</w:t>
      </w:r>
      <w:r>
        <w:t xml:space="preserve"> </w:t>
      </w:r>
      <w:r w:rsidR="009919FA">
        <w:t xml:space="preserve">As of December </w:t>
      </w:r>
      <w:r w:rsidR="009919FA" w:rsidRPr="009919FA">
        <w:t>2019</w:t>
      </w:r>
      <w:r w:rsidR="009919FA">
        <w:t>, there were 1.66 million hired and self</w:t>
      </w:r>
      <w:r w:rsidR="00B05367">
        <w:t>-</w:t>
      </w:r>
      <w:r w:rsidR="009919FA">
        <w:t>employed workers in Georgia, 46% of which are women.</w:t>
      </w:r>
      <w:r w:rsidR="00B05367">
        <w:rPr>
          <w:rStyle w:val="FootnoteReference"/>
        </w:rPr>
        <w:footnoteReference w:id="35"/>
      </w:r>
      <w:r w:rsidR="009919FA">
        <w:t xml:space="preserve"> </w:t>
      </w:r>
      <w:r w:rsidR="00D76371">
        <w:t xml:space="preserve">Recent estimates suggest that </w:t>
      </w:r>
      <w:r w:rsidR="001B759A">
        <w:t>40.6% of all female hired workers a</w:t>
      </w:r>
      <w:r w:rsidR="00F65582">
        <w:t>nd</w:t>
      </w:r>
      <w:r w:rsidR="001B759A">
        <w:t xml:space="preserve"> 22.6% of female self-employed workers are at high risk of job loss</w:t>
      </w:r>
      <w:r w:rsidR="005345E3">
        <w:t>.</w:t>
      </w:r>
      <w:r w:rsidR="00FC1BB4">
        <w:rPr>
          <w:rStyle w:val="FootnoteReference"/>
        </w:rPr>
        <w:footnoteReference w:id="36"/>
      </w:r>
      <w:r w:rsidR="005345E3">
        <w:t xml:space="preserve"> </w:t>
      </w:r>
      <w:r w:rsidR="00FC2445">
        <w:t>With women earning</w:t>
      </w:r>
      <w:r w:rsidR="004D07DF">
        <w:t xml:space="preserve"> </w:t>
      </w:r>
      <w:r w:rsidR="00FC2445">
        <w:t>only 6</w:t>
      </w:r>
      <w:r w:rsidR="00796622">
        <w:t>4</w:t>
      </w:r>
      <w:r w:rsidR="00FC2445">
        <w:t>% of men’s average earnings</w:t>
      </w:r>
      <w:r w:rsidR="00056A24">
        <w:t xml:space="preserve"> in 2017</w:t>
      </w:r>
      <w:r w:rsidR="00FC2445">
        <w:t>,</w:t>
      </w:r>
      <w:r w:rsidR="004D07DF">
        <w:t xml:space="preserve"> </w:t>
      </w:r>
      <w:r w:rsidR="00C91373">
        <w:t>potential downward adjustments to income or work hours would likely affect women more severely.</w:t>
      </w:r>
      <w:r w:rsidR="00C91373">
        <w:rPr>
          <w:rStyle w:val="FootnoteReference"/>
        </w:rPr>
        <w:footnoteReference w:id="37"/>
      </w:r>
      <w:r w:rsidR="00FC2445">
        <w:t xml:space="preserve"> </w:t>
      </w:r>
      <w:r w:rsidR="00ED55AA">
        <w:t xml:space="preserve">Furthermore, an estimated </w:t>
      </w:r>
      <w:r>
        <w:t xml:space="preserve">60% of all workers in the </w:t>
      </w:r>
      <w:r w:rsidR="00D05EBF">
        <w:t>tourism</w:t>
      </w:r>
      <w:r>
        <w:t xml:space="preserve"> sector</w:t>
      </w:r>
      <w:r w:rsidR="00194B48">
        <w:t>, one of the most affected sectors in Georgia and</w:t>
      </w:r>
      <w:r w:rsidR="00ED55AA">
        <w:t xml:space="preserve"> </w:t>
      </w:r>
      <w:r w:rsidR="008C651F">
        <w:t>which capture</w:t>
      </w:r>
      <w:r w:rsidR="00D60798">
        <w:t>s</w:t>
      </w:r>
      <w:r w:rsidR="008C651F">
        <w:t xml:space="preserve"> 7.8% of total employment</w:t>
      </w:r>
      <w:r w:rsidR="00194B48">
        <w:t>,</w:t>
      </w:r>
      <w:r w:rsidR="008C651F">
        <w:t xml:space="preserve"> are women</w:t>
      </w:r>
      <w:r w:rsidR="00ED55AA">
        <w:t xml:space="preserve">. The low average salaries </w:t>
      </w:r>
      <w:r w:rsidR="003A1C45">
        <w:t xml:space="preserve">for women </w:t>
      </w:r>
      <w:r w:rsidR="00ED55AA">
        <w:t>in the sector</w:t>
      </w:r>
      <w:r w:rsidR="003A1C45">
        <w:rPr>
          <w:rStyle w:val="FootnoteReference"/>
        </w:rPr>
        <w:footnoteReference w:id="38"/>
      </w:r>
      <w:r w:rsidR="007F39E1">
        <w:t xml:space="preserve">, roughly </w:t>
      </w:r>
      <w:r w:rsidR="00243ACA">
        <w:t xml:space="preserve">a third of the national </w:t>
      </w:r>
      <w:r w:rsidR="003A1C45">
        <w:t>average salaries in 201</w:t>
      </w:r>
      <w:r w:rsidR="00367BCA">
        <w:t>7</w:t>
      </w:r>
      <w:r w:rsidR="00367BCA">
        <w:rPr>
          <w:rStyle w:val="FootnoteReference"/>
        </w:rPr>
        <w:footnoteReference w:id="39"/>
      </w:r>
      <w:r w:rsidR="003A1C45">
        <w:t>,</w:t>
      </w:r>
      <w:r w:rsidR="00ED55AA">
        <w:t xml:space="preserve"> </w:t>
      </w:r>
      <w:r w:rsidR="00F920A8">
        <w:t>exacerbate</w:t>
      </w:r>
      <w:r w:rsidR="00BC253C">
        <w:t>s</w:t>
      </w:r>
      <w:r w:rsidR="00F920A8">
        <w:t xml:space="preserve"> the impact that a reduction in income in this sector would have on women. </w:t>
      </w:r>
      <w:r w:rsidR="00091E7C">
        <w:t>Finally</w:t>
      </w:r>
      <w:r w:rsidR="006959BB" w:rsidRPr="00837D49">
        <w:t xml:space="preserve">, </w:t>
      </w:r>
      <w:r>
        <w:t xml:space="preserve">the expected reduction in </w:t>
      </w:r>
      <w:r>
        <w:lastRenderedPageBreak/>
        <w:t>remittances by 15% is likely to impact women disproportionately, as they represent 61.8% of all remittance recipients in Georgia.</w:t>
      </w:r>
      <w:r>
        <w:rPr>
          <w:rStyle w:val="FootnoteReference"/>
        </w:rPr>
        <w:footnoteReference w:id="40"/>
      </w:r>
      <w:r w:rsidR="00807B05">
        <w:t xml:space="preserve"> </w:t>
      </w:r>
    </w:p>
    <w:p w14:paraId="7CEC043B" w14:textId="77777777" w:rsidR="00240096" w:rsidRPr="00240096" w:rsidRDefault="00240096" w:rsidP="00240096">
      <w:pPr>
        <w:pStyle w:val="ListParagraph"/>
        <w:ind w:left="0"/>
        <w:jc w:val="both"/>
        <w:rPr>
          <w:lang w:val="en-PH"/>
        </w:rPr>
      </w:pPr>
    </w:p>
    <w:p w14:paraId="5BFC21C1" w14:textId="05763F17" w:rsidR="00494990" w:rsidRPr="00240096" w:rsidRDefault="00095118" w:rsidP="00EA2F1B">
      <w:pPr>
        <w:pStyle w:val="ListParagraph"/>
        <w:numPr>
          <w:ilvl w:val="0"/>
          <w:numId w:val="6"/>
        </w:numPr>
        <w:ind w:left="0" w:firstLine="0"/>
        <w:jc w:val="both"/>
        <w:rPr>
          <w:lang w:val="en-PH"/>
        </w:rPr>
      </w:pPr>
      <w:bookmarkStart w:id="12" w:name="_Hlk38557633"/>
      <w:r w:rsidRPr="00240096">
        <w:rPr>
          <w:b/>
          <w:bCs/>
        </w:rPr>
        <w:t>Immediate and</w:t>
      </w:r>
      <w:r w:rsidR="00BA5292" w:rsidRPr="00240096">
        <w:rPr>
          <w:b/>
          <w:bCs/>
        </w:rPr>
        <w:t xml:space="preserve"> effective </w:t>
      </w:r>
      <w:r w:rsidRPr="00240096">
        <w:rPr>
          <w:b/>
          <w:bCs/>
        </w:rPr>
        <w:t xml:space="preserve">response to contain the spread of the </w:t>
      </w:r>
      <w:r w:rsidR="00AB3CC6" w:rsidRPr="00240096">
        <w:rPr>
          <w:b/>
          <w:bCs/>
        </w:rPr>
        <w:t>Corona</w:t>
      </w:r>
      <w:r w:rsidRPr="00240096">
        <w:rPr>
          <w:b/>
          <w:bCs/>
        </w:rPr>
        <w:t>virus.</w:t>
      </w:r>
      <w:r w:rsidR="00BA5292">
        <w:t xml:space="preserve"> Acknowledging fragility of its public health system to handle the Coronavirus pandemic, Georgia implemented strict containment measures very early on. On </w:t>
      </w:r>
      <w:r w:rsidR="00AE0BD7">
        <w:t>2</w:t>
      </w:r>
      <w:r w:rsidR="00BA5292">
        <w:t>1 March 2020, with a total of 47 confirmed cases of COVID-19, Georgia declared a state of emergency and published a comprehensive list of NPIs including restrictions on the movement of people, public gatherings</w:t>
      </w:r>
      <w:r w:rsidR="002E53B5">
        <w:t>,</w:t>
      </w:r>
      <w:r w:rsidR="00BA5292">
        <w:t xml:space="preserve"> and cultural/sports events, as well as restrictions on the types of economic activities that are allowed to continue operating.</w:t>
      </w:r>
      <w:r w:rsidR="00BA5292">
        <w:rPr>
          <w:rStyle w:val="FootnoteReference"/>
        </w:rPr>
        <w:footnoteReference w:id="41"/>
      </w:r>
      <w:r w:rsidR="00BA5292">
        <w:t xml:space="preserve"> While these measures have been largely successful in </w:t>
      </w:r>
      <w:r w:rsidR="00F4163C">
        <w:t xml:space="preserve">slowing the pace of contagion </w:t>
      </w:r>
      <w:r w:rsidR="00BA5292">
        <w:t xml:space="preserve">in Georgia, they bear significant </w:t>
      </w:r>
      <w:r w:rsidR="00BD00EB">
        <w:t>socio-economic</w:t>
      </w:r>
      <w:r w:rsidR="00BA5292">
        <w:t xml:space="preserve"> costs</w:t>
      </w:r>
      <w:r w:rsidR="00B62E1A">
        <w:t xml:space="preserve"> affecting the poor and vulnerable disproportionately</w:t>
      </w:r>
      <w:r w:rsidR="00190AB4">
        <w:t>.</w:t>
      </w:r>
      <w:bookmarkEnd w:id="12"/>
    </w:p>
    <w:p w14:paraId="4899C121" w14:textId="77777777" w:rsidR="00240096" w:rsidRPr="00240096" w:rsidRDefault="00240096" w:rsidP="00240096">
      <w:pPr>
        <w:pStyle w:val="ListParagraph"/>
        <w:rPr>
          <w:lang w:val="en-PH"/>
        </w:rPr>
      </w:pPr>
    </w:p>
    <w:p w14:paraId="0BB703A9" w14:textId="7C568C69" w:rsidR="00B61BBA" w:rsidRPr="00240096" w:rsidRDefault="00525723" w:rsidP="00EA2F1B">
      <w:pPr>
        <w:pStyle w:val="ListParagraph"/>
        <w:numPr>
          <w:ilvl w:val="0"/>
          <w:numId w:val="6"/>
        </w:numPr>
        <w:ind w:left="0" w:firstLine="0"/>
        <w:jc w:val="both"/>
        <w:rPr>
          <w:lang w:val="en-PH"/>
        </w:rPr>
      </w:pPr>
      <w:r w:rsidRPr="00240096">
        <w:rPr>
          <w:rFonts w:cs="Arial"/>
          <w:b/>
          <w:bCs/>
        </w:rPr>
        <w:t>Government’s Anti-Crisis Plan: countercyclical development expenditure to mitigate socio-economic impact of COVID-19</w:t>
      </w:r>
      <w:r w:rsidR="00637B86" w:rsidRPr="00240096">
        <w:rPr>
          <w:rFonts w:cs="Arial"/>
        </w:rPr>
        <w:t>.</w:t>
      </w:r>
      <w:r w:rsidRPr="00240096">
        <w:rPr>
          <w:rFonts w:cs="Arial"/>
        </w:rPr>
        <w:t xml:space="preserve"> </w:t>
      </w:r>
      <w:r w:rsidR="00C26635" w:rsidRPr="00240096">
        <w:rPr>
          <w:rFonts w:cs="Arial"/>
        </w:rPr>
        <w:t xml:space="preserve">In order to </w:t>
      </w:r>
      <w:r w:rsidR="007030B0" w:rsidRPr="00240096">
        <w:rPr>
          <w:rFonts w:cs="Arial"/>
        </w:rPr>
        <w:t>mitigate</w:t>
      </w:r>
      <w:r w:rsidR="00C26635" w:rsidRPr="00240096">
        <w:rPr>
          <w:rFonts w:cs="Arial"/>
        </w:rPr>
        <w:t xml:space="preserve"> the </w:t>
      </w:r>
      <w:r w:rsidR="00B97092" w:rsidRPr="00240096">
        <w:rPr>
          <w:rFonts w:cs="Arial"/>
        </w:rPr>
        <w:t>expected socioeconomic impacts of COVID-</w:t>
      </w:r>
      <w:r w:rsidR="007030B0" w:rsidRPr="00240096" w:rsidDel="00B97092">
        <w:rPr>
          <w:rFonts w:cs="Arial"/>
        </w:rPr>
        <w:t>19</w:t>
      </w:r>
      <w:r w:rsidR="00C56C45" w:rsidRPr="00240096">
        <w:rPr>
          <w:rFonts w:cs="Arial"/>
        </w:rPr>
        <w:t>, t</w:t>
      </w:r>
      <w:r w:rsidR="003F1809" w:rsidRPr="00240096">
        <w:rPr>
          <w:rFonts w:cs="Arial"/>
        </w:rPr>
        <w:t xml:space="preserve">he government adopted a comprehensive countercyclical </w:t>
      </w:r>
      <w:r w:rsidR="007030B0" w:rsidRPr="00240096">
        <w:rPr>
          <w:rFonts w:cs="Arial"/>
        </w:rPr>
        <w:t>development expenditure</w:t>
      </w:r>
      <w:r w:rsidR="003F1809" w:rsidRPr="00240096">
        <w:rPr>
          <w:rFonts w:cs="Arial"/>
        </w:rPr>
        <w:t xml:space="preserve"> program</w:t>
      </w:r>
      <w:r w:rsidR="00C56C45" w:rsidRPr="00240096">
        <w:rPr>
          <w:rFonts w:cs="Arial"/>
        </w:rPr>
        <w:t xml:space="preserve">. </w:t>
      </w:r>
      <w:r w:rsidR="003F1809" w:rsidRPr="00240096">
        <w:rPr>
          <w:rFonts w:cs="Arial"/>
        </w:rPr>
        <w:t>The response program</w:t>
      </w:r>
      <w:r w:rsidR="00766A91" w:rsidRPr="00240096">
        <w:rPr>
          <w:rFonts w:cs="Arial"/>
        </w:rPr>
        <w:t>, costed at GEL</w:t>
      </w:r>
      <w:r w:rsidR="00970552" w:rsidRPr="00240096">
        <w:rPr>
          <w:rFonts w:cs="Arial"/>
        </w:rPr>
        <w:t>3</w:t>
      </w:r>
      <w:r w:rsidR="00766A91" w:rsidRPr="00240096">
        <w:rPr>
          <w:rFonts w:cs="Arial"/>
        </w:rPr>
        <w:t>.5 billion</w:t>
      </w:r>
      <w:r w:rsidR="006F4EEA" w:rsidRPr="00240096">
        <w:rPr>
          <w:rFonts w:cs="Arial"/>
        </w:rPr>
        <w:t xml:space="preserve"> ($</w:t>
      </w:r>
      <w:r w:rsidR="00970552" w:rsidRPr="00240096">
        <w:rPr>
          <w:rFonts w:cs="Arial"/>
        </w:rPr>
        <w:t>1.1</w:t>
      </w:r>
      <w:r w:rsidR="006F4EEA" w:rsidRPr="00240096">
        <w:rPr>
          <w:rFonts w:cs="Arial"/>
        </w:rPr>
        <w:t xml:space="preserve"> </w:t>
      </w:r>
      <w:r w:rsidR="00970552" w:rsidRPr="00240096">
        <w:rPr>
          <w:rFonts w:cs="Arial"/>
        </w:rPr>
        <w:t>b</w:t>
      </w:r>
      <w:r w:rsidR="006F4EEA" w:rsidRPr="00240096">
        <w:rPr>
          <w:rFonts w:cs="Arial"/>
        </w:rPr>
        <w:t>illion)</w:t>
      </w:r>
      <w:r w:rsidR="00766A91" w:rsidRPr="00240096">
        <w:rPr>
          <w:rFonts w:cs="Arial"/>
        </w:rPr>
        <w:t>, or</w:t>
      </w:r>
      <w:r w:rsidR="003F1809" w:rsidRPr="00240096">
        <w:rPr>
          <w:rFonts w:cs="Arial"/>
        </w:rPr>
        <w:t xml:space="preserve"> </w:t>
      </w:r>
      <w:r w:rsidR="00970552" w:rsidRPr="00240096">
        <w:rPr>
          <w:rFonts w:eastAsiaTheme="minorEastAsia"/>
        </w:rPr>
        <w:t>7</w:t>
      </w:r>
      <w:r w:rsidR="003F1809" w:rsidRPr="00240096">
        <w:rPr>
          <w:rFonts w:eastAsiaTheme="minorEastAsia"/>
        </w:rPr>
        <w:t>.</w:t>
      </w:r>
      <w:r w:rsidR="00970552" w:rsidRPr="00240096">
        <w:rPr>
          <w:rFonts w:eastAsiaTheme="minorEastAsia"/>
        </w:rPr>
        <w:t>4</w:t>
      </w:r>
      <w:r w:rsidR="003F1809" w:rsidRPr="00240096">
        <w:rPr>
          <w:rFonts w:eastAsiaTheme="minorEastAsia"/>
        </w:rPr>
        <w:t xml:space="preserve">% of GDP, </w:t>
      </w:r>
      <w:r w:rsidR="002641EF" w:rsidRPr="00240096">
        <w:rPr>
          <w:rFonts w:cs="Arial"/>
        </w:rPr>
        <w:t xml:space="preserve">has a threefold objective: (i) </w:t>
      </w:r>
      <w:r w:rsidR="00A001B6" w:rsidRPr="00240096">
        <w:rPr>
          <w:rFonts w:cs="Arial"/>
        </w:rPr>
        <w:t xml:space="preserve">increase the public health sector’s capacity to </w:t>
      </w:r>
      <w:r w:rsidR="00191722" w:rsidRPr="00240096">
        <w:rPr>
          <w:rFonts w:cs="Arial"/>
        </w:rPr>
        <w:t>respond to the pandemic in the short and medium term</w:t>
      </w:r>
      <w:r w:rsidR="00906B54" w:rsidRPr="00240096">
        <w:rPr>
          <w:rFonts w:cs="Arial"/>
        </w:rPr>
        <w:t xml:space="preserve">; </w:t>
      </w:r>
      <w:r w:rsidR="00846305" w:rsidRPr="00240096">
        <w:rPr>
          <w:rFonts w:cs="Arial"/>
        </w:rPr>
        <w:t xml:space="preserve">(ii) </w:t>
      </w:r>
      <w:r w:rsidR="00684F11" w:rsidRPr="00240096">
        <w:rPr>
          <w:rFonts w:cs="Arial"/>
        </w:rPr>
        <w:t xml:space="preserve">minimize losses to be incurred by </w:t>
      </w:r>
      <w:r w:rsidR="00841579" w:rsidRPr="00240096">
        <w:rPr>
          <w:rFonts w:cs="Arial"/>
        </w:rPr>
        <w:t xml:space="preserve">affected </w:t>
      </w:r>
      <w:r w:rsidR="00684F11" w:rsidRPr="00240096">
        <w:rPr>
          <w:rFonts w:cs="Arial"/>
        </w:rPr>
        <w:t xml:space="preserve">private sector </w:t>
      </w:r>
      <w:r w:rsidR="00841579" w:rsidRPr="00240096">
        <w:rPr>
          <w:rFonts w:cs="Arial"/>
        </w:rPr>
        <w:t>entities</w:t>
      </w:r>
      <w:r w:rsidR="00592C84" w:rsidRPr="00240096">
        <w:rPr>
          <w:rFonts w:cs="Arial"/>
        </w:rPr>
        <w:t xml:space="preserve">; and </w:t>
      </w:r>
      <w:r w:rsidR="00846305" w:rsidRPr="00240096">
        <w:rPr>
          <w:rFonts w:cs="Arial"/>
        </w:rPr>
        <w:t xml:space="preserve">(iii) </w:t>
      </w:r>
      <w:r w:rsidR="00592C84" w:rsidRPr="00240096">
        <w:rPr>
          <w:rFonts w:cs="Arial"/>
        </w:rPr>
        <w:t xml:space="preserve">limit </w:t>
      </w:r>
      <w:r w:rsidR="009F5C78" w:rsidRPr="00240096">
        <w:rPr>
          <w:rFonts w:cs="Arial"/>
        </w:rPr>
        <w:t xml:space="preserve">socio-economic costs on the poor and vulnerable through </w:t>
      </w:r>
      <w:r w:rsidR="00E30880" w:rsidRPr="00240096">
        <w:rPr>
          <w:rFonts w:cs="Arial"/>
        </w:rPr>
        <w:t>expanded</w:t>
      </w:r>
      <w:r w:rsidR="009F5C78" w:rsidRPr="00240096">
        <w:rPr>
          <w:rFonts w:cs="Arial"/>
        </w:rPr>
        <w:t xml:space="preserve"> assistance programs. </w:t>
      </w:r>
      <w:r w:rsidR="00ED7316">
        <w:t>The government’s</w:t>
      </w:r>
      <w:r w:rsidR="0080736D">
        <w:t xml:space="preserve"> countercyclical expenditure program has been drafted within a demonstrably sustainable macroeconomic background and will be implemented through a prudent budgetary framework.</w:t>
      </w:r>
      <w:r w:rsidR="0080736D">
        <w:rPr>
          <w:rStyle w:val="FootnoteReference"/>
        </w:rPr>
        <w:footnoteReference w:id="42"/>
      </w:r>
    </w:p>
    <w:p w14:paraId="4AD7D27A" w14:textId="77777777" w:rsidR="00494990" w:rsidRPr="00494990" w:rsidRDefault="00494990" w:rsidP="006218E6">
      <w:pPr>
        <w:pStyle w:val="TOC3"/>
        <w:numPr>
          <w:ilvl w:val="0"/>
          <w:numId w:val="0"/>
        </w:numPr>
        <w:spacing w:before="0" w:after="0"/>
      </w:pPr>
    </w:p>
    <w:p w14:paraId="15668401" w14:textId="5C785A89" w:rsidR="00883509" w:rsidRPr="00883509" w:rsidRDefault="00687A88" w:rsidP="00EA2F1B">
      <w:pPr>
        <w:pStyle w:val="ListParagraph"/>
        <w:numPr>
          <w:ilvl w:val="0"/>
          <w:numId w:val="6"/>
        </w:numPr>
        <w:ind w:left="0" w:firstLine="0"/>
        <w:jc w:val="both"/>
        <w:rPr>
          <w:lang w:val="en-PH"/>
        </w:rPr>
      </w:pPr>
      <w:r w:rsidRPr="00EC0CF8">
        <w:rPr>
          <w:b/>
          <w:bCs/>
        </w:rPr>
        <w:t xml:space="preserve">Health </w:t>
      </w:r>
      <w:r w:rsidR="001464B4" w:rsidRPr="00EC0CF8">
        <w:rPr>
          <w:b/>
          <w:bCs/>
        </w:rPr>
        <w:t>sector</w:t>
      </w:r>
      <w:r w:rsidRPr="00EC0CF8">
        <w:rPr>
          <w:b/>
          <w:bCs/>
        </w:rPr>
        <w:t xml:space="preserve"> response</w:t>
      </w:r>
      <w:r w:rsidR="001464B4" w:rsidRPr="00EC0CF8">
        <w:rPr>
          <w:b/>
          <w:bCs/>
        </w:rPr>
        <w:t xml:space="preserve"> </w:t>
      </w:r>
      <w:r w:rsidRPr="00EC0CF8">
        <w:rPr>
          <w:b/>
          <w:bCs/>
        </w:rPr>
        <w:t>for COVID-19</w:t>
      </w:r>
      <w:r w:rsidR="00AB6F61">
        <w:rPr>
          <w:b/>
          <w:bCs/>
        </w:rPr>
        <w:t xml:space="preserve"> (</w:t>
      </w:r>
      <w:r w:rsidR="00AB6F61" w:rsidRPr="00166E6E">
        <w:rPr>
          <w:b/>
          <w:bCs/>
        </w:rPr>
        <w:t>GEL</w:t>
      </w:r>
      <w:r w:rsidR="00B756C3" w:rsidRPr="00166E6E">
        <w:rPr>
          <w:b/>
          <w:bCs/>
        </w:rPr>
        <w:t>355</w:t>
      </w:r>
      <w:r w:rsidR="00AB6F61">
        <w:rPr>
          <w:b/>
          <w:bCs/>
        </w:rPr>
        <w:t xml:space="preserve"> million or $111 million)</w:t>
      </w:r>
      <w:r w:rsidRPr="00EC0CF8">
        <w:rPr>
          <w:b/>
          <w:bCs/>
        </w:rPr>
        <w:t>.</w:t>
      </w:r>
      <w:r w:rsidR="00133354">
        <w:t xml:space="preserve"> The health </w:t>
      </w:r>
      <w:r w:rsidR="008720D5">
        <w:t>system’</w:t>
      </w:r>
      <w:r w:rsidR="00133354">
        <w:t xml:space="preserve">s capacity to cope with </w:t>
      </w:r>
      <w:r w:rsidR="00926E49">
        <w:t xml:space="preserve">an increasing number </w:t>
      </w:r>
      <w:r w:rsidR="00950D0B">
        <w:t xml:space="preserve">of </w:t>
      </w:r>
      <w:r w:rsidR="00133354">
        <w:t>COVID-19 cases is limited. While the strict containment measures adopted by the government ha</w:t>
      </w:r>
      <w:r w:rsidR="00845BA8">
        <w:t>ve</w:t>
      </w:r>
      <w:r w:rsidR="00133354">
        <w:t xml:space="preserve"> been widely effective in </w:t>
      </w:r>
      <w:r w:rsidR="00FD10D6">
        <w:t xml:space="preserve">minimizing the number of cumulative cases, government acknowledges the need to </w:t>
      </w:r>
      <w:r w:rsidR="00981223">
        <w:t xml:space="preserve">strengthen the health system’s capacity </w:t>
      </w:r>
      <w:r w:rsidR="0044154C">
        <w:t>for a medium</w:t>
      </w:r>
      <w:r w:rsidR="000122FE">
        <w:t>-</w:t>
      </w:r>
      <w:r w:rsidR="0044154C">
        <w:t>term approach</w:t>
      </w:r>
      <w:r w:rsidR="00494136">
        <w:t xml:space="preserve">. </w:t>
      </w:r>
      <w:r w:rsidR="00D068F8">
        <w:t xml:space="preserve">The health sector response revolves around five key </w:t>
      </w:r>
      <w:r w:rsidR="005A0F8B">
        <w:t xml:space="preserve">areas of intervention: (i) case </w:t>
      </w:r>
      <w:r w:rsidR="00346516">
        <w:t>detection</w:t>
      </w:r>
      <w:r w:rsidR="005A0F8B">
        <w:t xml:space="preserve"> and confirmation; (ii) isolation of highest risk people; (iii)</w:t>
      </w:r>
      <w:r w:rsidR="008B46D7">
        <w:t xml:space="preserve"> improving quality of medical care</w:t>
      </w:r>
      <w:r w:rsidR="00346516">
        <w:t xml:space="preserve">; (iv) patient treatment and case management; and </w:t>
      </w:r>
      <w:r w:rsidR="00874475">
        <w:br/>
      </w:r>
      <w:r w:rsidR="00346516">
        <w:t xml:space="preserve">(v) infrastructure investment. </w:t>
      </w:r>
    </w:p>
    <w:p w14:paraId="4614565F" w14:textId="10AD2F20" w:rsidR="00D068F8" w:rsidRPr="00EC2986" w:rsidRDefault="00883509" w:rsidP="00874475">
      <w:pPr>
        <w:pStyle w:val="ListParagraph"/>
        <w:numPr>
          <w:ilvl w:val="0"/>
          <w:numId w:val="9"/>
        </w:numPr>
        <w:ind w:left="1440" w:hanging="720"/>
        <w:rPr>
          <w:lang w:val="en-PH"/>
        </w:rPr>
      </w:pPr>
      <w:r w:rsidRPr="00EC2986">
        <w:rPr>
          <w:b/>
          <w:bCs/>
          <w:lang w:val="en-PH"/>
        </w:rPr>
        <w:t>Case detection and confirmation</w:t>
      </w:r>
      <w:r w:rsidR="00244108" w:rsidRPr="00EC2986">
        <w:rPr>
          <w:b/>
          <w:bCs/>
          <w:lang w:val="en-PH"/>
        </w:rPr>
        <w:t>:</w:t>
      </w:r>
      <w:r w:rsidR="0084085F">
        <w:t xml:space="preserve"> </w:t>
      </w:r>
      <w:r>
        <w:t>G</w:t>
      </w:r>
      <w:r w:rsidR="0072682C">
        <w:t xml:space="preserve">overnment will </w:t>
      </w:r>
      <w:r w:rsidR="00575098">
        <w:t>procure</w:t>
      </w:r>
      <w:r w:rsidR="0072682C">
        <w:t xml:space="preserve"> necessary medical hygiene materials, COVID-19 test kits, laboratory reagents, polymerase chain reaction equipment and specimen transport kits. </w:t>
      </w:r>
      <w:r w:rsidR="00F420D7">
        <w:t>It will be support</w:t>
      </w:r>
      <w:r w:rsidR="001135D1">
        <w:t>ed</w:t>
      </w:r>
      <w:r w:rsidR="00F420D7">
        <w:t xml:space="preserve"> by investment in IT systems for disease surveillance and contract tracing</w:t>
      </w:r>
      <w:r w:rsidR="001D3A35">
        <w:rPr>
          <w:rStyle w:val="FootnoteReference"/>
        </w:rPr>
        <w:footnoteReference w:id="43"/>
      </w:r>
      <w:r w:rsidR="00F420D7">
        <w:t xml:space="preserve">. </w:t>
      </w:r>
    </w:p>
    <w:p w14:paraId="3620DC18" w14:textId="18F0BC38" w:rsidR="00883509" w:rsidRPr="00883509" w:rsidRDefault="00883509" w:rsidP="00874475">
      <w:pPr>
        <w:pStyle w:val="ListParagraph"/>
        <w:numPr>
          <w:ilvl w:val="0"/>
          <w:numId w:val="9"/>
        </w:numPr>
        <w:ind w:left="1440" w:hanging="720"/>
        <w:jc w:val="both"/>
        <w:rPr>
          <w:lang w:val="en-PH"/>
        </w:rPr>
      </w:pPr>
      <w:r>
        <w:rPr>
          <w:b/>
          <w:bCs/>
          <w:lang w:val="en-PH"/>
        </w:rPr>
        <w:t>Isolation of high</w:t>
      </w:r>
      <w:r w:rsidR="000E454F">
        <w:rPr>
          <w:b/>
          <w:bCs/>
          <w:lang w:val="en-PH"/>
        </w:rPr>
        <w:t>-</w:t>
      </w:r>
      <w:r>
        <w:rPr>
          <w:b/>
          <w:bCs/>
          <w:lang w:val="en-PH"/>
        </w:rPr>
        <w:t>risk individuals</w:t>
      </w:r>
      <w:r w:rsidR="00244108">
        <w:rPr>
          <w:b/>
          <w:bCs/>
          <w:lang w:val="en-PH"/>
        </w:rPr>
        <w:t>:</w:t>
      </w:r>
      <w:r w:rsidR="000E454F" w:rsidRPr="000E454F">
        <w:t xml:space="preserve"> </w:t>
      </w:r>
      <w:r w:rsidR="000E454F">
        <w:t>Government will ensure that high risk individuals and those with international travel history and suspected contacts are place</w:t>
      </w:r>
      <w:r w:rsidR="001135D1">
        <w:t>d</w:t>
      </w:r>
      <w:r w:rsidR="000E454F">
        <w:t xml:space="preserve"> in specially organized quarantine facilities.</w:t>
      </w:r>
    </w:p>
    <w:p w14:paraId="5B135AA9" w14:textId="15F6E99E" w:rsidR="00883509" w:rsidRDefault="008B46D7" w:rsidP="00874475">
      <w:pPr>
        <w:pStyle w:val="ListParagraph"/>
        <w:numPr>
          <w:ilvl w:val="0"/>
          <w:numId w:val="9"/>
        </w:numPr>
        <w:ind w:left="1440" w:hanging="720"/>
        <w:jc w:val="both"/>
        <w:rPr>
          <w:lang w:val="en-PH"/>
        </w:rPr>
      </w:pPr>
      <w:r>
        <w:rPr>
          <w:b/>
          <w:bCs/>
          <w:lang w:val="en-PH"/>
        </w:rPr>
        <w:t>Improving quality of medical care</w:t>
      </w:r>
      <w:r w:rsidR="00244108">
        <w:rPr>
          <w:lang w:val="en-PH"/>
        </w:rPr>
        <w:t xml:space="preserve">: </w:t>
      </w:r>
      <w:r>
        <w:rPr>
          <w:lang w:val="en-PH"/>
        </w:rPr>
        <w:t>In order to improve the quality of medical care provided</w:t>
      </w:r>
      <w:r w:rsidR="003A672B">
        <w:rPr>
          <w:lang w:val="en-PH"/>
        </w:rPr>
        <w:t xml:space="preserve"> and minimize risks of contagion to health personnel, government will </w:t>
      </w:r>
      <w:r w:rsidR="003831C7">
        <w:rPr>
          <w:lang w:val="en-PH"/>
        </w:rPr>
        <w:t>train at least 2</w:t>
      </w:r>
      <w:r w:rsidR="00892F77">
        <w:rPr>
          <w:lang w:val="en-PH"/>
        </w:rPr>
        <w:t>,</w:t>
      </w:r>
      <w:r w:rsidR="003831C7">
        <w:rPr>
          <w:lang w:val="en-PH"/>
        </w:rPr>
        <w:t xml:space="preserve">000 medical staff, </w:t>
      </w:r>
      <w:r w:rsidR="003A672B">
        <w:rPr>
          <w:lang w:val="en-PH"/>
        </w:rPr>
        <w:t xml:space="preserve">procure essential medical goods and will carry out rapid conditioning of designated public health facilities. </w:t>
      </w:r>
    </w:p>
    <w:p w14:paraId="2672B3F6" w14:textId="523236F2" w:rsidR="005B34BD" w:rsidRDefault="005B34BD" w:rsidP="00874475">
      <w:pPr>
        <w:pStyle w:val="ListParagraph"/>
        <w:numPr>
          <w:ilvl w:val="0"/>
          <w:numId w:val="9"/>
        </w:numPr>
        <w:ind w:left="1440" w:hanging="720"/>
        <w:jc w:val="both"/>
        <w:rPr>
          <w:lang w:val="en-PH"/>
        </w:rPr>
      </w:pPr>
      <w:r>
        <w:rPr>
          <w:b/>
          <w:bCs/>
          <w:lang w:val="en-PH"/>
        </w:rPr>
        <w:lastRenderedPageBreak/>
        <w:t>Patient care and case management</w:t>
      </w:r>
      <w:r w:rsidRPr="005B34BD">
        <w:rPr>
          <w:lang w:val="en-PH"/>
        </w:rPr>
        <w:t>:</w:t>
      </w:r>
      <w:r>
        <w:rPr>
          <w:lang w:val="en-PH"/>
        </w:rPr>
        <w:t xml:space="preserve"> </w:t>
      </w:r>
      <w:r w:rsidR="004A458D" w:rsidRPr="004A458D">
        <w:rPr>
          <w:lang w:val="en-PH"/>
        </w:rPr>
        <w:t xml:space="preserve">Government committed to </w:t>
      </w:r>
      <w:r w:rsidR="004A458D">
        <w:rPr>
          <w:lang w:val="en-PH"/>
        </w:rPr>
        <w:t>providing free access to</w:t>
      </w:r>
      <w:r w:rsidR="004A458D" w:rsidRPr="004A458D">
        <w:rPr>
          <w:lang w:val="en-PH"/>
        </w:rPr>
        <w:t xml:space="preserve"> all diagnostic, laboratory and treatment costs of COVID-19 patients </w:t>
      </w:r>
      <w:r w:rsidR="00E75875" w:rsidRPr="00E75875">
        <w:rPr>
          <w:lang w:val="en-PH"/>
        </w:rPr>
        <w:t xml:space="preserve">in public </w:t>
      </w:r>
      <w:r w:rsidR="00E75875">
        <w:rPr>
          <w:lang w:val="en-PH"/>
        </w:rPr>
        <w:t>as well as</w:t>
      </w:r>
      <w:r w:rsidR="00E75875" w:rsidRPr="00E75875">
        <w:rPr>
          <w:lang w:val="en-PH"/>
        </w:rPr>
        <w:t xml:space="preserve"> private facilities.</w:t>
      </w:r>
      <w:r w:rsidR="004A458D">
        <w:rPr>
          <w:rStyle w:val="FootnoteReference"/>
          <w:lang w:val="en-PH"/>
        </w:rPr>
        <w:footnoteReference w:id="44"/>
      </w:r>
    </w:p>
    <w:p w14:paraId="379817CC" w14:textId="19C6AA8C" w:rsidR="00C949C3" w:rsidRPr="00883509" w:rsidRDefault="00D54FDB" w:rsidP="00874475">
      <w:pPr>
        <w:pStyle w:val="ListParagraph"/>
        <w:numPr>
          <w:ilvl w:val="0"/>
          <w:numId w:val="9"/>
        </w:numPr>
        <w:ind w:left="1440" w:hanging="720"/>
        <w:jc w:val="both"/>
        <w:rPr>
          <w:lang w:val="en-PH"/>
        </w:rPr>
      </w:pPr>
      <w:r w:rsidRPr="00D54FDB">
        <w:rPr>
          <w:b/>
          <w:bCs/>
          <w:lang w:val="en-PH"/>
        </w:rPr>
        <w:t>Infrastructure investment</w:t>
      </w:r>
      <w:r>
        <w:rPr>
          <w:lang w:val="en-PH"/>
        </w:rPr>
        <w:t xml:space="preserve">: </w:t>
      </w:r>
      <w:r w:rsidR="008018B6">
        <w:rPr>
          <w:lang w:val="en-PH"/>
        </w:rPr>
        <w:t>Government is</w:t>
      </w:r>
      <w:r w:rsidR="008018B6" w:rsidRPr="008018B6">
        <w:rPr>
          <w:lang w:val="en-PH"/>
        </w:rPr>
        <w:t xml:space="preserve"> investing in capacity improvements</w:t>
      </w:r>
      <w:r w:rsidR="008018B6">
        <w:rPr>
          <w:lang w:val="en-PH"/>
        </w:rPr>
        <w:t xml:space="preserve"> of</w:t>
      </w:r>
      <w:r w:rsidR="008018B6" w:rsidRPr="008018B6">
        <w:rPr>
          <w:lang w:val="en-PH"/>
        </w:rPr>
        <w:t xml:space="preserve"> designated public facilities, including </w:t>
      </w:r>
      <w:r w:rsidR="00892F77">
        <w:rPr>
          <w:lang w:val="en-PH"/>
        </w:rPr>
        <w:t xml:space="preserve">hospitals that </w:t>
      </w:r>
      <w:r w:rsidR="008018B6" w:rsidRPr="008018B6">
        <w:rPr>
          <w:lang w:val="en-PH"/>
        </w:rPr>
        <w:t xml:space="preserve">serve a large internally displaced </w:t>
      </w:r>
      <w:r w:rsidR="00D440CD">
        <w:rPr>
          <w:lang w:val="en-PH"/>
        </w:rPr>
        <w:t>people (IDP)</w:t>
      </w:r>
      <w:r w:rsidR="008018B6" w:rsidRPr="008018B6">
        <w:rPr>
          <w:lang w:val="en-PH"/>
        </w:rPr>
        <w:t>.</w:t>
      </w:r>
    </w:p>
    <w:p w14:paraId="1E7AABCF" w14:textId="77777777" w:rsidR="00680496" w:rsidRPr="00120D74" w:rsidRDefault="00680496" w:rsidP="00680496">
      <w:pPr>
        <w:rPr>
          <w:lang w:val="en-PH"/>
        </w:rPr>
      </w:pPr>
    </w:p>
    <w:p w14:paraId="359951F1" w14:textId="29D68808" w:rsidR="00CD5D2A" w:rsidRDefault="00916DCE" w:rsidP="00E37632">
      <w:pPr>
        <w:pStyle w:val="ListParagraph"/>
        <w:numPr>
          <w:ilvl w:val="0"/>
          <w:numId w:val="6"/>
        </w:numPr>
        <w:ind w:left="0" w:firstLine="0"/>
        <w:jc w:val="both"/>
      </w:pPr>
      <w:r>
        <w:rPr>
          <w:b/>
          <w:bCs/>
        </w:rPr>
        <w:t>Support to affected businesses</w:t>
      </w:r>
      <w:r w:rsidR="00AB6F61">
        <w:rPr>
          <w:b/>
          <w:bCs/>
        </w:rPr>
        <w:t xml:space="preserve"> (GEL2.11 billion or $671 million)</w:t>
      </w:r>
      <w:r w:rsidR="009A612E" w:rsidRPr="00EC0CF8">
        <w:rPr>
          <w:b/>
          <w:bCs/>
        </w:rPr>
        <w:t xml:space="preserve">. </w:t>
      </w:r>
      <w:r w:rsidR="00B333D5">
        <w:t xml:space="preserve">Government has committed a total of </w:t>
      </w:r>
      <w:r w:rsidR="00293FBA">
        <w:t>GEL</w:t>
      </w:r>
      <w:r w:rsidR="00B333D5">
        <w:t>2.11 billion ($671</w:t>
      </w:r>
      <w:r w:rsidR="00E61FC2">
        <w:t xml:space="preserve"> million</w:t>
      </w:r>
      <w:r w:rsidR="00B333D5">
        <w:t xml:space="preserve">) to support </w:t>
      </w:r>
      <w:r w:rsidR="00A61645">
        <w:t xml:space="preserve">most affected </w:t>
      </w:r>
      <w:r w:rsidR="00C2128E">
        <w:t>businesses</w:t>
      </w:r>
      <w:r w:rsidR="00B333D5">
        <w:t xml:space="preserve">, </w:t>
      </w:r>
      <w:r w:rsidR="00554EBF">
        <w:t>with a focus on SMEs</w:t>
      </w:r>
      <w:r w:rsidR="00B333D5">
        <w:t xml:space="preserve">. This support is expected to contain mass retrenchment and, therefore, alleviate the socio-economic severity of the crisis. It will also </w:t>
      </w:r>
      <w:r w:rsidR="00E00024">
        <w:t xml:space="preserve">facilitate </w:t>
      </w:r>
      <w:r w:rsidR="00B333D5">
        <w:t>recovery once containment measures are lifted</w:t>
      </w:r>
      <w:r w:rsidR="00E00024">
        <w:t>.</w:t>
      </w:r>
      <w:r w:rsidR="00BC7512">
        <w:t xml:space="preserve"> </w:t>
      </w:r>
      <w:r w:rsidR="00E720E3">
        <w:t>G</w:t>
      </w:r>
      <w:r w:rsidR="00EB286A">
        <w:t xml:space="preserve">overnment has tailored its support package to benefit SMEs and </w:t>
      </w:r>
      <w:r w:rsidR="00E720E3">
        <w:t xml:space="preserve">firms in the </w:t>
      </w:r>
      <w:r w:rsidR="00EB286A">
        <w:t>Agriculture sector specifically.</w:t>
      </w:r>
      <w:r w:rsidR="00E20F01">
        <w:t xml:space="preserve"> </w:t>
      </w:r>
      <w:r w:rsidR="00BC7512">
        <w:t xml:space="preserve">These are described in more detail below. </w:t>
      </w:r>
    </w:p>
    <w:p w14:paraId="76FC33A4" w14:textId="321A5F77" w:rsidR="00CD5D2A" w:rsidRDefault="00CD5D2A" w:rsidP="00E37632">
      <w:pPr>
        <w:pStyle w:val="ListParagraph"/>
        <w:ind w:left="0"/>
        <w:jc w:val="both"/>
      </w:pPr>
    </w:p>
    <w:p w14:paraId="2083AE49" w14:textId="28CCE9C3" w:rsidR="00CD5D2A" w:rsidRDefault="007E50E6" w:rsidP="00E37632">
      <w:pPr>
        <w:pStyle w:val="ListParagraph"/>
        <w:numPr>
          <w:ilvl w:val="0"/>
          <w:numId w:val="6"/>
        </w:numPr>
        <w:ind w:left="0" w:firstLine="0"/>
        <w:jc w:val="both"/>
      </w:pPr>
      <w:r w:rsidRPr="00CD5D2A">
        <w:rPr>
          <w:b/>
          <w:bCs/>
        </w:rPr>
        <w:t>Support to SMEs.</w:t>
      </w:r>
      <w:r>
        <w:t xml:space="preserve"> </w:t>
      </w:r>
      <w:r w:rsidR="00F13DFE">
        <w:t xml:space="preserve">An estimated 99.7% of all registered firms in Georgia in 2017 were SMEs, </w:t>
      </w:r>
      <w:r w:rsidR="00762B2C">
        <w:t>which employed</w:t>
      </w:r>
      <w:r w:rsidR="00F13DFE">
        <w:t xml:space="preserve"> 62% of </w:t>
      </w:r>
      <w:r w:rsidR="00762B2C">
        <w:t xml:space="preserve">all </w:t>
      </w:r>
      <w:r w:rsidR="00381EFC">
        <w:t xml:space="preserve">formal </w:t>
      </w:r>
      <w:r w:rsidR="00762B2C">
        <w:t>workers</w:t>
      </w:r>
      <w:r w:rsidR="00F13DFE">
        <w:t xml:space="preserve"> and</w:t>
      </w:r>
      <w:r w:rsidR="00945242">
        <w:t xml:space="preserve"> 67% of </w:t>
      </w:r>
      <w:r w:rsidR="00762B2C">
        <w:t xml:space="preserve">all </w:t>
      </w:r>
      <w:r w:rsidR="00945242">
        <w:t>female hired workers</w:t>
      </w:r>
      <w:r w:rsidR="009E5977">
        <w:t xml:space="preserve">. </w:t>
      </w:r>
      <w:r w:rsidR="009E5977">
        <w:rPr>
          <w:rStyle w:val="FootnoteReference"/>
        </w:rPr>
        <w:footnoteReference w:id="45"/>
      </w:r>
      <w:r w:rsidR="00916DCE">
        <w:t xml:space="preserve"> </w:t>
      </w:r>
      <w:r w:rsidR="000A6E21">
        <w:t xml:space="preserve">In order to </w:t>
      </w:r>
      <w:r w:rsidR="00381EFC">
        <w:t>avoid</w:t>
      </w:r>
      <w:r w:rsidR="000A6E21">
        <w:t xml:space="preserve"> mass retrenchment of workers, the g</w:t>
      </w:r>
      <w:r w:rsidR="005658B8">
        <w:t xml:space="preserve">overnment adopted </w:t>
      </w:r>
      <w:r w:rsidR="003A46C0">
        <w:t>three</w:t>
      </w:r>
      <w:r w:rsidR="000A6E21">
        <w:t xml:space="preserve"> measures </w:t>
      </w:r>
      <w:r w:rsidR="003A46C0">
        <w:t>aimed specifically at</w:t>
      </w:r>
      <w:r w:rsidR="000A6E21">
        <w:t xml:space="preserve"> improv</w:t>
      </w:r>
      <w:r w:rsidR="003A46C0">
        <w:t>ing</w:t>
      </w:r>
      <w:r w:rsidR="000A6E21">
        <w:t xml:space="preserve"> access to finance to SMEs</w:t>
      </w:r>
      <w:r w:rsidR="00283DFB">
        <w:t xml:space="preserve">: </w:t>
      </w:r>
      <w:r w:rsidR="00E4049F">
        <w:t xml:space="preserve">(i) increased budgetary allocation of </w:t>
      </w:r>
      <w:r w:rsidR="009D1A66">
        <w:t xml:space="preserve">GEL350 million </w:t>
      </w:r>
      <w:r w:rsidR="00E4049F">
        <w:t>to the Credit Guarantee Scheme</w:t>
      </w:r>
      <w:r w:rsidR="009D1A66">
        <w:t xml:space="preserve"> to increase the total value of co-financed loans to SMEs to GEL2 billion; (ii) </w:t>
      </w:r>
      <w:r w:rsidR="008E4D65">
        <w:t>expanding</w:t>
      </w:r>
      <w:r w:rsidR="005F1FA4">
        <w:t xml:space="preserve"> and </w:t>
      </w:r>
      <w:r w:rsidR="00014D59">
        <w:t>upgrading</w:t>
      </w:r>
      <w:r w:rsidR="005F1FA4">
        <w:t xml:space="preserve"> existing credit enhancement mechanisms under the “Produce in Georgia”</w:t>
      </w:r>
      <w:r w:rsidR="00E4049F">
        <w:t xml:space="preserve"> </w:t>
      </w:r>
      <w:r w:rsidR="004F2691">
        <w:rPr>
          <w:rStyle w:val="FootnoteReference"/>
        </w:rPr>
        <w:footnoteReference w:id="46"/>
      </w:r>
      <w:r w:rsidR="00CB7C34">
        <w:t xml:space="preserve"> which is expected to benefit at least 300 SMEs</w:t>
      </w:r>
      <w:r w:rsidR="005F1FA4">
        <w:t xml:space="preserve">; and (iii) </w:t>
      </w:r>
      <w:r w:rsidR="008E4D65">
        <w:t>extending</w:t>
      </w:r>
      <w:r w:rsidR="00CB7C34">
        <w:t xml:space="preserve"> GEL40 million in grants to micro-entrepreneurs</w:t>
      </w:r>
      <w:r w:rsidR="00276291">
        <w:rPr>
          <w:rStyle w:val="FootnoteReference"/>
        </w:rPr>
        <w:footnoteReference w:id="47"/>
      </w:r>
      <w:r w:rsidR="00014D59">
        <w:t xml:space="preserve"> which is expected to benefit around 5,000 </w:t>
      </w:r>
      <w:r w:rsidR="00C2128E">
        <w:t>entrepreneurs</w:t>
      </w:r>
      <w:r w:rsidR="00CB7C34">
        <w:t>.</w:t>
      </w:r>
      <w:r w:rsidR="004F2691">
        <w:t xml:space="preserve"> </w:t>
      </w:r>
      <w:r w:rsidR="00014D59">
        <w:t xml:space="preserve">In addition to </w:t>
      </w:r>
      <w:r w:rsidR="008E4D65">
        <w:t>these</w:t>
      </w:r>
      <w:r w:rsidR="00014D59">
        <w:t xml:space="preserve"> </w:t>
      </w:r>
      <w:r w:rsidR="008E4D65">
        <w:t>cross-sectoral measures</w:t>
      </w:r>
      <w:r w:rsidR="00014D59">
        <w:t xml:space="preserve">, government </w:t>
      </w:r>
      <w:r w:rsidR="001E3BD3">
        <w:t>will also provide</w:t>
      </w:r>
      <w:r w:rsidR="00014D59">
        <w:t xml:space="preserve"> </w:t>
      </w:r>
      <w:r w:rsidR="001E3BD3">
        <w:t>tax credits</w:t>
      </w:r>
      <w:r w:rsidR="00014D59">
        <w:t xml:space="preserve"> SMEs in the tourism sector</w:t>
      </w:r>
      <w:r w:rsidR="001E3BD3">
        <w:t xml:space="preserve"> – one of the most affected sectors</w:t>
      </w:r>
      <w:r w:rsidR="00E06341">
        <w:t xml:space="preserve"> where 60% of workers are women, many of which at high risk of job loss</w:t>
      </w:r>
      <w:r w:rsidR="00014D59">
        <w:t>.</w:t>
      </w:r>
      <w:r w:rsidR="001E3BD3">
        <w:t xml:space="preserve"> </w:t>
      </w:r>
      <w:r w:rsidR="006E171C">
        <w:t xml:space="preserve">This includes a deferral of property and income tax until </w:t>
      </w:r>
      <w:r w:rsidR="00A95B5E">
        <w:t>November</w:t>
      </w:r>
      <w:r w:rsidR="006E171C">
        <w:t xml:space="preserve"> 2020, </w:t>
      </w:r>
      <w:r w:rsidR="00CF599A">
        <w:t xml:space="preserve">a measure which is </w:t>
      </w:r>
      <w:r w:rsidR="006E171C">
        <w:t xml:space="preserve">expected to benefit </w:t>
      </w:r>
      <w:r w:rsidR="00A95B5E">
        <w:t>around 4,500 SMEs</w:t>
      </w:r>
      <w:r w:rsidR="00CF599A">
        <w:t xml:space="preserve">, and </w:t>
      </w:r>
      <w:r w:rsidR="00A2477B">
        <w:t>provision of an 80% subsidy on interest rate payments for small and medium sized hotels</w:t>
      </w:r>
      <w:r w:rsidR="00A2477B">
        <w:rPr>
          <w:rStyle w:val="FootnoteReference"/>
        </w:rPr>
        <w:footnoteReference w:id="48"/>
      </w:r>
      <w:r w:rsidR="00A95B5E">
        <w:t xml:space="preserve"> </w:t>
      </w:r>
      <w:r w:rsidR="004A3261">
        <w:t>for a period of six months</w:t>
      </w:r>
      <w:r w:rsidR="00C2128E">
        <w:t xml:space="preserve">, a measure which is expected to benefit at least 2,000 small and medium sized hotels. </w:t>
      </w:r>
    </w:p>
    <w:p w14:paraId="09A63157" w14:textId="77777777" w:rsidR="00CD5D2A" w:rsidRDefault="00CD5D2A" w:rsidP="00E37632">
      <w:pPr>
        <w:pStyle w:val="ListParagraph"/>
        <w:ind w:left="0"/>
        <w:jc w:val="both"/>
      </w:pPr>
    </w:p>
    <w:p w14:paraId="202E2245" w14:textId="6C918A81" w:rsidR="00CD5D2A" w:rsidRDefault="00E7230A" w:rsidP="00E37632">
      <w:pPr>
        <w:pStyle w:val="ListParagraph"/>
        <w:numPr>
          <w:ilvl w:val="0"/>
          <w:numId w:val="6"/>
        </w:numPr>
        <w:ind w:left="0" w:firstLine="0"/>
        <w:jc w:val="both"/>
      </w:pPr>
      <w:r w:rsidRPr="00CD5D2A">
        <w:rPr>
          <w:b/>
          <w:bCs/>
        </w:rPr>
        <w:t xml:space="preserve">Support to firms in the </w:t>
      </w:r>
      <w:r w:rsidR="005041C2">
        <w:rPr>
          <w:b/>
          <w:bCs/>
        </w:rPr>
        <w:t>a</w:t>
      </w:r>
      <w:r w:rsidRPr="00CD5D2A">
        <w:rPr>
          <w:b/>
          <w:bCs/>
        </w:rPr>
        <w:t>griculture sector.</w:t>
      </w:r>
      <w:r>
        <w:t xml:space="preserve"> </w:t>
      </w:r>
      <w:r w:rsidR="003E7EAD">
        <w:t>Despite its relatively low contribution to GDP (7% in 2019), 40.9%</w:t>
      </w:r>
      <w:r w:rsidR="003E7EAD">
        <w:rPr>
          <w:rStyle w:val="FootnoteReference"/>
        </w:rPr>
        <w:footnoteReference w:id="49"/>
      </w:r>
      <w:r w:rsidR="003E7EAD">
        <w:t xml:space="preserve"> of all active working age persons in Georgia work in agriculture</w:t>
      </w:r>
      <w:r w:rsidR="005041C2">
        <w:t>—</w:t>
      </w:r>
      <w:r w:rsidR="003E7EAD">
        <w:t>97% of which are self-employed and fall outside existing support systems.</w:t>
      </w:r>
      <w:r w:rsidR="003E7EAD">
        <w:rPr>
          <w:rStyle w:val="FootnoteReference"/>
        </w:rPr>
        <w:footnoteReference w:id="50"/>
      </w:r>
      <w:r w:rsidR="003E7EAD">
        <w:t xml:space="preserve"> Furthermore, low baseline incomes in the sector suggest that loss of economic activity could have a disproportionately higher impact on the rise of poverty incidence when compared with other sectors. </w:t>
      </w:r>
      <w:r w:rsidR="00A2189E">
        <w:t>As a result, m</w:t>
      </w:r>
      <w:r w:rsidR="00E7258F">
        <w:t xml:space="preserve">easures </w:t>
      </w:r>
      <w:r w:rsidR="00A2189E">
        <w:t xml:space="preserve">to </w:t>
      </w:r>
      <w:r w:rsidR="00142360">
        <w:t xml:space="preserve">support </w:t>
      </w:r>
      <w:r w:rsidR="000A0176">
        <w:t>firms</w:t>
      </w:r>
      <w:r w:rsidR="00142360">
        <w:t xml:space="preserve"> in the agriculture sector </w:t>
      </w:r>
      <w:r w:rsidR="00223CED">
        <w:t xml:space="preserve">are expected to be </w:t>
      </w:r>
      <w:r w:rsidR="00883499">
        <w:t>effective in</w:t>
      </w:r>
      <w:r w:rsidR="00142360">
        <w:t xml:space="preserve"> </w:t>
      </w:r>
      <w:r w:rsidR="00371D00">
        <w:t>mitigat</w:t>
      </w:r>
      <w:r w:rsidR="00883499">
        <w:t>ing</w:t>
      </w:r>
      <w:r w:rsidR="00371D00">
        <w:t xml:space="preserve"> </w:t>
      </w:r>
      <w:r w:rsidR="00241401">
        <w:t xml:space="preserve">resurgence in poverty incidence. </w:t>
      </w:r>
      <w:r w:rsidR="00A2189E">
        <w:t xml:space="preserve">They also </w:t>
      </w:r>
      <w:r w:rsidR="00020916">
        <w:t xml:space="preserve">complement the government’s efforts to </w:t>
      </w:r>
      <w:r w:rsidR="00F964A1">
        <w:t>increase</w:t>
      </w:r>
      <w:r w:rsidR="00054EC4">
        <w:t xml:space="preserve"> domestic food production with a view to protecting food insecure households</w:t>
      </w:r>
      <w:r w:rsidR="005041C2">
        <w:t>.</w:t>
      </w:r>
      <w:r w:rsidR="002A3662">
        <w:rPr>
          <w:rStyle w:val="FootnoteReference"/>
        </w:rPr>
        <w:footnoteReference w:id="51"/>
      </w:r>
      <w:r w:rsidR="00F964A1">
        <w:rPr>
          <w:rStyle w:val="FootnoteReference"/>
        </w:rPr>
        <w:footnoteReference w:id="52"/>
      </w:r>
      <w:r w:rsidR="00F71DD8">
        <w:t xml:space="preserve"> To this end, </w:t>
      </w:r>
      <w:r w:rsidR="00F56D4A">
        <w:t xml:space="preserve">the government </w:t>
      </w:r>
      <w:r w:rsidR="00F71DD8">
        <w:t>adopted a measure ensuring provision of</w:t>
      </w:r>
      <w:r w:rsidR="00F56D4A">
        <w:t xml:space="preserve"> a 100% subsidy </w:t>
      </w:r>
      <w:r w:rsidR="008E39D5">
        <w:t>for</w:t>
      </w:r>
      <w:r w:rsidR="00F56D4A">
        <w:t xml:space="preserve"> </w:t>
      </w:r>
      <w:r w:rsidR="008E39D5">
        <w:t>interest payments on loans</w:t>
      </w:r>
      <w:r w:rsidR="00230D5C">
        <w:t>.</w:t>
      </w:r>
      <w:r w:rsidR="005B25F8">
        <w:rPr>
          <w:rStyle w:val="FootnoteReference"/>
        </w:rPr>
        <w:footnoteReference w:id="53"/>
      </w:r>
      <w:r w:rsidR="00F56D4A">
        <w:t xml:space="preserve"> </w:t>
      </w:r>
      <w:r w:rsidR="00230D5C">
        <w:t xml:space="preserve">This </w:t>
      </w:r>
      <w:r w:rsidR="00230D5C">
        <w:lastRenderedPageBreak/>
        <w:t xml:space="preserve">measure will benefit </w:t>
      </w:r>
      <w:r w:rsidR="00D055A7">
        <w:t>around 5,000 firms</w:t>
      </w:r>
      <w:r w:rsidR="00230D5C">
        <w:t xml:space="preserve"> in the sector</w:t>
      </w:r>
      <w:r w:rsidR="00D055A7">
        <w:t xml:space="preserve">, most of which </w:t>
      </w:r>
      <w:r w:rsidR="00F71DD8">
        <w:t xml:space="preserve">are </w:t>
      </w:r>
      <w:r w:rsidR="00D055A7">
        <w:t xml:space="preserve">expected to be SMEs. </w:t>
      </w:r>
      <w:r w:rsidR="00230D5C">
        <w:t>In addition to this</w:t>
      </w:r>
      <w:r w:rsidR="00D055A7">
        <w:t xml:space="preserve">, government </w:t>
      </w:r>
      <w:r w:rsidR="00230D5C">
        <w:t>will exempt</w:t>
      </w:r>
      <w:r w:rsidR="00811A06">
        <w:t xml:space="preserve"> agriculture sector firms from paying amelioration </w:t>
      </w:r>
      <w:r w:rsidR="00EB286A">
        <w:t>fees and</w:t>
      </w:r>
      <w:r w:rsidR="000A0176">
        <w:t xml:space="preserve"> will</w:t>
      </w:r>
      <w:r w:rsidR="00811A06">
        <w:t xml:space="preserve"> </w:t>
      </w:r>
      <w:r w:rsidR="000A0176">
        <w:t>write</w:t>
      </w:r>
      <w:r w:rsidR="00811A06">
        <w:t xml:space="preserve"> off any existing accumulated arrears on such fees</w:t>
      </w:r>
      <w:r w:rsidR="00DC797D">
        <w:t xml:space="preserve">. </w:t>
      </w:r>
      <w:r w:rsidR="00E22EF8">
        <w:t>This measure is expected to benefit around 40,000 farmers</w:t>
      </w:r>
      <w:r w:rsidR="000A0176">
        <w:t xml:space="preserve"> and contribute towards increase food production</w:t>
      </w:r>
      <w:r w:rsidR="00E22EF8">
        <w:t xml:space="preserve">. </w:t>
      </w:r>
    </w:p>
    <w:p w14:paraId="1A209B86" w14:textId="77777777" w:rsidR="002F28EF" w:rsidRPr="00EB286A" w:rsidRDefault="002F28EF" w:rsidP="00E37632">
      <w:pPr>
        <w:rPr>
          <w:b/>
          <w:bCs/>
        </w:rPr>
      </w:pPr>
    </w:p>
    <w:p w14:paraId="5A756716" w14:textId="740C192E" w:rsidR="00C71C79" w:rsidRDefault="00C71C79" w:rsidP="00E37632">
      <w:pPr>
        <w:pStyle w:val="ListParagraph"/>
        <w:numPr>
          <w:ilvl w:val="0"/>
          <w:numId w:val="6"/>
        </w:numPr>
        <w:ind w:left="0" w:firstLine="0"/>
        <w:jc w:val="both"/>
      </w:pPr>
      <w:r w:rsidRPr="002F28EF">
        <w:rPr>
          <w:b/>
          <w:bCs/>
        </w:rPr>
        <w:t>Provision of ample liquidity to all firms.</w:t>
      </w:r>
      <w:r>
        <w:t xml:space="preserve"> In addition</w:t>
      </w:r>
      <w:r w:rsidR="00554EBF">
        <w:t xml:space="preserve"> to the</w:t>
      </w:r>
      <w:r>
        <w:t xml:space="preserve"> </w:t>
      </w:r>
      <w:r w:rsidR="00646839">
        <w:t xml:space="preserve">fiscal </w:t>
      </w:r>
      <w:r w:rsidR="00EB286A">
        <w:t>measures described</w:t>
      </w:r>
      <w:r w:rsidR="002F28EF">
        <w:t xml:space="preserve"> above</w:t>
      </w:r>
      <w:r>
        <w:t>, the National Bank of Georgia</w:t>
      </w:r>
      <w:r w:rsidRPr="00886C50">
        <w:t xml:space="preserve"> </w:t>
      </w:r>
      <w:r w:rsidR="00646839">
        <w:t xml:space="preserve">has </w:t>
      </w:r>
      <w:r w:rsidR="001C44F4">
        <w:t>adopted a range of</w:t>
      </w:r>
      <w:r w:rsidRPr="00886C50">
        <w:t xml:space="preserve"> countercyclical measures </w:t>
      </w:r>
      <w:r w:rsidR="001C44F4">
        <w:t xml:space="preserve">that will </w:t>
      </w:r>
      <w:r w:rsidRPr="00886C50">
        <w:t>ensure provision of liquidity to sectors most directly impacted by the crisis. Implementation of additional capital requirements planned for March 2020</w:t>
      </w:r>
      <w:r>
        <w:t xml:space="preserve"> </w:t>
      </w:r>
      <w:r w:rsidRPr="00886C50">
        <w:t xml:space="preserve">were postponed and commercial banks are now allowed to use capital conversion, countercyclical, and related buffers. </w:t>
      </w:r>
      <w:r w:rsidR="00706133">
        <w:t>C</w:t>
      </w:r>
      <w:r w:rsidRPr="00886C50">
        <w:t xml:space="preserve">ountercyclical buffers currently stand at GEL4 billion </w:t>
      </w:r>
      <w:r w:rsidR="00554EBF">
        <w:t>and can be</w:t>
      </w:r>
      <w:r w:rsidRPr="00886C50">
        <w:t xml:space="preserve"> gradually released according to demand. The central bank stands ready to ease credit regulations and remove restrictions on lending. It has decreased liquidity coverage ratio limits as well as mandatory foreign exchange reserve requirements. Furthermore, criteria for security or pledging of repurchase agreements to support local currency liquidity have been updated. Altogether, these measures are expected to free up additional resources of around GEL1.6 billion ($500 million).</w:t>
      </w:r>
    </w:p>
    <w:p w14:paraId="7A70F81D" w14:textId="77777777" w:rsidR="003948C6" w:rsidRPr="003948C6" w:rsidRDefault="003948C6" w:rsidP="003948C6">
      <w:pPr>
        <w:pStyle w:val="ListParagraph"/>
        <w:ind w:left="0"/>
        <w:jc w:val="both"/>
      </w:pPr>
    </w:p>
    <w:p w14:paraId="16513AB2" w14:textId="25523B92" w:rsidR="00EA2F1B" w:rsidRPr="00EA2F1B" w:rsidRDefault="009F1464" w:rsidP="00EA2F1B">
      <w:pPr>
        <w:pStyle w:val="ListParagraph"/>
        <w:numPr>
          <w:ilvl w:val="0"/>
          <w:numId w:val="6"/>
        </w:numPr>
        <w:ind w:left="0" w:firstLine="0"/>
        <w:jc w:val="both"/>
        <w:rPr>
          <w:lang w:val="en-PH"/>
        </w:rPr>
      </w:pPr>
      <w:r>
        <w:rPr>
          <w:b/>
          <w:bCs/>
        </w:rPr>
        <w:t>S</w:t>
      </w:r>
      <w:r w:rsidR="00221872">
        <w:rPr>
          <w:b/>
          <w:bCs/>
        </w:rPr>
        <w:t xml:space="preserve">ocial </w:t>
      </w:r>
      <w:r>
        <w:rPr>
          <w:b/>
          <w:bCs/>
        </w:rPr>
        <w:t>A</w:t>
      </w:r>
      <w:r w:rsidR="00221872">
        <w:rPr>
          <w:b/>
          <w:bCs/>
        </w:rPr>
        <w:t>ssistance</w:t>
      </w:r>
      <w:r>
        <w:rPr>
          <w:b/>
          <w:bCs/>
        </w:rPr>
        <w:t xml:space="preserve"> Package</w:t>
      </w:r>
      <w:r w:rsidR="00B53230" w:rsidRPr="7454D1C0">
        <w:rPr>
          <w:b/>
          <w:bCs/>
        </w:rPr>
        <w:t>.</w:t>
      </w:r>
      <w:r w:rsidR="00B53230">
        <w:t xml:space="preserve"> </w:t>
      </w:r>
      <w:r w:rsidR="004155EC">
        <w:t xml:space="preserve">The </w:t>
      </w:r>
      <w:r w:rsidR="00925BD5">
        <w:t xml:space="preserve">government committed to </w:t>
      </w:r>
      <w:r w:rsidR="002524C0">
        <w:t xml:space="preserve">reducing the negative effects of job loss and loss of income, </w:t>
      </w:r>
      <w:r w:rsidR="006C33CE">
        <w:t>increasing its support to the poor and vulnerable</w:t>
      </w:r>
      <w:r w:rsidR="004155EC">
        <w:t>.</w:t>
      </w:r>
      <w:r w:rsidR="004731B0">
        <w:rPr>
          <w:rStyle w:val="FootnoteReference"/>
        </w:rPr>
        <w:footnoteReference w:id="54"/>
      </w:r>
      <w:r w:rsidR="004731B0">
        <w:t xml:space="preserve"> </w:t>
      </w:r>
      <w:r w:rsidR="002524C0">
        <w:t>To this end, the government has adopted a range</w:t>
      </w:r>
      <w:r w:rsidR="006C33CE">
        <w:t xml:space="preserve"> of measures that </w:t>
      </w:r>
      <w:r w:rsidR="00D848D2">
        <w:t>attempt at preserving jobs and supporting the livelihoods of those who lose their source of income as a result of the COVID-19 crisis.</w:t>
      </w:r>
      <w:r w:rsidR="00831A14">
        <w:t xml:space="preserve"> The package includes: (i) employment preservation measures; (ii) cash transfers to vulnerable groups; (iii) </w:t>
      </w:r>
      <w:r w:rsidR="00BF0DE8">
        <w:t>measures to ensure food security. These are described in more detail below.</w:t>
      </w:r>
      <w:r w:rsidR="00E231F3">
        <w:t xml:space="preserve"> </w:t>
      </w:r>
    </w:p>
    <w:p w14:paraId="173AFE18" w14:textId="77777777" w:rsidR="00EA2F1B" w:rsidRPr="00EA2F1B" w:rsidRDefault="00EA2F1B" w:rsidP="00EA2F1B">
      <w:pPr>
        <w:pStyle w:val="ListParagraph"/>
        <w:ind w:left="0"/>
        <w:jc w:val="both"/>
        <w:rPr>
          <w:lang w:val="en-PH"/>
        </w:rPr>
      </w:pPr>
    </w:p>
    <w:p w14:paraId="0C3F28F1" w14:textId="14661078" w:rsidR="008B24A4" w:rsidRPr="008B24A4" w:rsidRDefault="002E728F" w:rsidP="008B24A4">
      <w:pPr>
        <w:pStyle w:val="ListParagraph"/>
        <w:numPr>
          <w:ilvl w:val="0"/>
          <w:numId w:val="6"/>
        </w:numPr>
        <w:ind w:left="0" w:firstLine="0"/>
        <w:jc w:val="both"/>
        <w:rPr>
          <w:lang w:val="en-PH"/>
        </w:rPr>
      </w:pPr>
      <w:r w:rsidRPr="00EA2F1B">
        <w:rPr>
          <w:b/>
          <w:bCs/>
        </w:rPr>
        <w:t>Employment preservation measures</w:t>
      </w:r>
      <w:r>
        <w:t xml:space="preserve">. In order to </w:t>
      </w:r>
      <w:r w:rsidR="008C42DA">
        <w:t xml:space="preserve">avoid mass retrenchment in the formal sector, </w:t>
      </w:r>
      <w:r w:rsidR="00E231F3">
        <w:t>government</w:t>
      </w:r>
      <w:r w:rsidR="000963B1">
        <w:t xml:space="preserve"> will</w:t>
      </w:r>
      <w:r w:rsidR="00E231F3">
        <w:t xml:space="preserve"> </w:t>
      </w:r>
      <w:r w:rsidR="001F5F91">
        <w:t>exempt businesses</w:t>
      </w:r>
      <w:r w:rsidR="00B2083E">
        <w:t xml:space="preserve"> from income tax </w:t>
      </w:r>
      <w:r w:rsidR="00D24733">
        <w:t>over the first GEL750 of income for worker</w:t>
      </w:r>
      <w:r w:rsidR="001F5F91">
        <w:t>s with incomes up to GEL1</w:t>
      </w:r>
      <w:r w:rsidR="00CE245E">
        <w:t>,</w:t>
      </w:r>
      <w:r w:rsidR="001F5F91">
        <w:t>500 for a period of six months, provided these</w:t>
      </w:r>
      <w:r w:rsidR="00CE245E">
        <w:t xml:space="preserve"> worker’s jobs are retained</w:t>
      </w:r>
      <w:r w:rsidR="001F5F91">
        <w:t>.</w:t>
      </w:r>
      <w:r w:rsidR="00DF3C87">
        <w:t xml:space="preserve"> </w:t>
      </w:r>
      <w:r w:rsidR="00CB4D70">
        <w:t>Up to 300,000 employees are estimated to be covered by this assistance measure</w:t>
      </w:r>
      <w:r w:rsidR="006E1C7D">
        <w:t xml:space="preserve">. </w:t>
      </w:r>
      <w:r w:rsidR="00662A6D">
        <w:t>W</w:t>
      </w:r>
      <w:r w:rsidR="005B73CA">
        <w:t>orkers w</w:t>
      </w:r>
      <w:r w:rsidR="000506C9">
        <w:t xml:space="preserve">ho </w:t>
      </w:r>
      <w:r w:rsidR="00CE245E">
        <w:t>do lose</w:t>
      </w:r>
      <w:r w:rsidR="000506C9">
        <w:t xml:space="preserve"> their job</w:t>
      </w:r>
      <w:r w:rsidR="00A90EAC">
        <w:t xml:space="preserve"> </w:t>
      </w:r>
      <w:r w:rsidR="00D86F75">
        <w:t xml:space="preserve">or who are </w:t>
      </w:r>
      <w:r w:rsidR="00CE245E">
        <w:t>put on</w:t>
      </w:r>
      <w:r w:rsidR="00D86F75">
        <w:t xml:space="preserve"> unpaid leave</w:t>
      </w:r>
      <w:r w:rsidR="00CE245E">
        <w:t>,</w:t>
      </w:r>
      <w:r w:rsidR="00D86F75">
        <w:t xml:space="preserve"> </w:t>
      </w:r>
      <w:r w:rsidR="00A90EAC">
        <w:t>wi</w:t>
      </w:r>
      <w:r w:rsidR="005E4FDD">
        <w:t>ll rec</w:t>
      </w:r>
      <w:r w:rsidR="00714C83">
        <w:t xml:space="preserve">eive </w:t>
      </w:r>
      <w:r w:rsidR="00542963">
        <w:t xml:space="preserve">temporary unemployment assistance equivalent to </w:t>
      </w:r>
      <w:r w:rsidR="00786ABF">
        <w:t>GEL200</w:t>
      </w:r>
      <w:r w:rsidR="00A246FD">
        <w:t xml:space="preserve"> per </w:t>
      </w:r>
      <w:r w:rsidR="00786ABF">
        <w:t xml:space="preserve">month </w:t>
      </w:r>
      <w:r w:rsidR="00A246FD">
        <w:t>(</w:t>
      </w:r>
      <w:r w:rsidR="00C907E6">
        <w:t xml:space="preserve">$63.4) </w:t>
      </w:r>
      <w:r w:rsidR="00786ABF">
        <w:t xml:space="preserve">for </w:t>
      </w:r>
      <w:r w:rsidR="00317391">
        <w:t>u</w:t>
      </w:r>
      <w:r w:rsidR="00CD7747">
        <w:t xml:space="preserve">p </w:t>
      </w:r>
      <w:r w:rsidR="00001D47">
        <w:t xml:space="preserve">to </w:t>
      </w:r>
      <w:r w:rsidR="00EC13AB">
        <w:t>six</w:t>
      </w:r>
      <w:r w:rsidR="00001D47">
        <w:t xml:space="preserve"> months.</w:t>
      </w:r>
      <w:r w:rsidR="00EC13AB">
        <w:t xml:space="preserve"> As for informal and unemployed workers who lose their source of incomes, the government will</w:t>
      </w:r>
      <w:r w:rsidR="00001D47">
        <w:t xml:space="preserve"> </w:t>
      </w:r>
      <w:r w:rsidR="00F20686">
        <w:t>provide</w:t>
      </w:r>
      <w:r w:rsidR="00EC13AB">
        <w:t xml:space="preserve"> access to a </w:t>
      </w:r>
      <w:r w:rsidR="00571BF7">
        <w:t>on</w:t>
      </w:r>
      <w:r w:rsidR="000E6415">
        <w:t>e</w:t>
      </w:r>
      <w:r w:rsidR="00571BF7">
        <w:t xml:space="preserve">-time </w:t>
      </w:r>
      <w:r w:rsidR="00F20686">
        <w:t>benefit</w:t>
      </w:r>
      <w:r w:rsidR="00571BF7">
        <w:t xml:space="preserve"> of GEL300</w:t>
      </w:r>
      <w:r w:rsidR="008B155F">
        <w:t xml:space="preserve">. An estimated 250,000 workers </w:t>
      </w:r>
      <w:r w:rsidR="0007162E">
        <w:t xml:space="preserve">are expected </w:t>
      </w:r>
      <w:r w:rsidR="008B155F">
        <w:t>to benefit from this scheme.</w:t>
      </w:r>
      <w:r w:rsidR="008B24A4">
        <w:t xml:space="preserve"> </w:t>
      </w:r>
      <w:r w:rsidR="008B24A4" w:rsidRPr="008B24A4">
        <w:rPr>
          <w:lang w:val="en-PH"/>
        </w:rPr>
        <w:t xml:space="preserve">The State Employment Support Agency in </w:t>
      </w:r>
      <w:proofErr w:type="spellStart"/>
      <w:r w:rsidR="008B24A4" w:rsidRPr="008B24A4">
        <w:rPr>
          <w:lang w:val="en-PH"/>
        </w:rPr>
        <w:t>MoILHSA</w:t>
      </w:r>
      <w:proofErr w:type="spellEnd"/>
      <w:r w:rsidR="008B24A4" w:rsidRPr="008B24A4">
        <w:rPr>
          <w:lang w:val="en-PH"/>
        </w:rPr>
        <w:t xml:space="preserve"> will verify eligibility, avoiding an overlap with the other emergency programs, before paying unemployment</w:t>
      </w:r>
      <w:r w:rsidR="00A31C26">
        <w:rPr>
          <w:lang w:val="en-PH"/>
        </w:rPr>
        <w:t xml:space="preserve"> and one-off</w:t>
      </w:r>
      <w:r w:rsidR="008B24A4" w:rsidRPr="008B24A4">
        <w:rPr>
          <w:lang w:val="en-PH"/>
        </w:rPr>
        <w:t xml:space="preserve"> benefit</w:t>
      </w:r>
      <w:r w:rsidR="008B24A4">
        <w:rPr>
          <w:lang w:val="en-PH"/>
        </w:rPr>
        <w:t>s</w:t>
      </w:r>
      <w:r w:rsidR="008B24A4" w:rsidRPr="008B24A4">
        <w:rPr>
          <w:lang w:val="en-PH"/>
        </w:rPr>
        <w:t>.</w:t>
      </w:r>
    </w:p>
    <w:p w14:paraId="11B6A623" w14:textId="77777777" w:rsidR="00EA2F1B" w:rsidRPr="00EA2F1B" w:rsidRDefault="00EA2F1B" w:rsidP="00EA2F1B">
      <w:pPr>
        <w:pStyle w:val="ListParagraph"/>
        <w:rPr>
          <w:b/>
          <w:bCs/>
        </w:rPr>
      </w:pPr>
    </w:p>
    <w:p w14:paraId="35297973" w14:textId="3BAC5578" w:rsidR="008A273B" w:rsidRPr="008A273B" w:rsidRDefault="005F137A" w:rsidP="008A273B">
      <w:pPr>
        <w:pStyle w:val="ListParagraph"/>
        <w:numPr>
          <w:ilvl w:val="0"/>
          <w:numId w:val="6"/>
        </w:numPr>
        <w:ind w:left="0" w:firstLine="0"/>
        <w:jc w:val="both"/>
        <w:rPr>
          <w:lang w:val="en-PH"/>
        </w:rPr>
      </w:pPr>
      <w:r w:rsidRPr="00EA2F1B">
        <w:rPr>
          <w:b/>
          <w:bCs/>
        </w:rPr>
        <w:t>Cash transfers</w:t>
      </w:r>
      <w:r w:rsidR="00A86251" w:rsidRPr="00EA2F1B">
        <w:rPr>
          <w:b/>
          <w:bCs/>
        </w:rPr>
        <w:t xml:space="preserve"> to vulnerable groups.</w:t>
      </w:r>
      <w:r w:rsidR="00A86251">
        <w:t xml:space="preserve"> The government has adopted a wide range of temporary social protection cash transfer measures to alleviate the impact of the crisis on the poor and vulnerable, especially women and people livings with disabilities. </w:t>
      </w:r>
      <w:r w:rsidR="000835A6" w:rsidRPr="000835A6">
        <w:t xml:space="preserve">The TSA delivery system provides a solid basis to address the temporary shock, with a social registry (accounting for 30% of the total population) that can facilitate a rapid expansion. Application and registration procedures have been temporarily simplified to facilitate access to the TSA. The threshold has been temporarily expanded from 65,000 to 100,000 (proxy-means test score), with 70,000 households (190,000 citizens) expected to be eligible for GEL600 on average in the next 6 months. Households with three or more children under the age of 16, are entitled to a top-up benefit of </w:t>
      </w:r>
      <w:r w:rsidR="000835A6" w:rsidRPr="000835A6">
        <w:lastRenderedPageBreak/>
        <w:t xml:space="preserve">GEL100 for 6 months. Household with persons with severe disabilities and disabled children are entitled to an additional GEL200 for 6 months. </w:t>
      </w:r>
      <w:r w:rsidR="00C53BE5">
        <w:t xml:space="preserve">In addition to the expansion of the TSA system, government will also provide a cash transfer of GEL600 per month </w:t>
      </w:r>
      <w:r w:rsidR="004D3588">
        <w:t>adults</w:t>
      </w:r>
      <w:r w:rsidR="00941053">
        <w:t xml:space="preserve"> living with Group I disabilities</w:t>
      </w:r>
      <w:r w:rsidR="004D3588">
        <w:t xml:space="preserve"> and children living with any type of disability</w:t>
      </w:r>
      <w:r w:rsidR="00941053">
        <w:t xml:space="preserve"> for a period of 6 months. </w:t>
      </w:r>
      <w:r w:rsidR="008C3F20">
        <w:t>As many as 41,500 people are expected to benefit from this scheme.</w:t>
      </w:r>
      <w:r>
        <w:t xml:space="preserve"> In addition to cash transfers to the vulnerable and poor, government will also ensure that the basic needs of Georgians are met during the COVID-19 crisis. To this end</w:t>
      </w:r>
      <w:r w:rsidR="00630C0E">
        <w:t>,</w:t>
      </w:r>
      <w:r>
        <w:t xml:space="preserve"> government</w:t>
      </w:r>
      <w:r w:rsidR="008A273B" w:rsidRPr="008A273B">
        <w:rPr>
          <w:lang w:val="en-PH"/>
        </w:rPr>
        <w:t xml:space="preserve"> will subsidize utility fees for three months (March, April, May) fo</w:t>
      </w:r>
      <w:bookmarkStart w:id="13" w:name="_GoBack"/>
      <w:bookmarkEnd w:id="13"/>
      <w:r w:rsidR="008A273B" w:rsidRPr="008A273B">
        <w:rPr>
          <w:lang w:val="en-PH"/>
        </w:rPr>
        <w:t>r electricity, sanitary service, gas, and water bills for households that consume less than 200 kWh of electricity and 200 cubic meters of natural gas per month.</w:t>
      </w:r>
    </w:p>
    <w:p w14:paraId="0DA81180" w14:textId="77777777" w:rsidR="008A273B" w:rsidRPr="000E3AAA" w:rsidRDefault="008A273B" w:rsidP="008A273B">
      <w:pPr>
        <w:rPr>
          <w:lang w:val="en-PH"/>
        </w:rPr>
      </w:pPr>
    </w:p>
    <w:p w14:paraId="0D9B42EC" w14:textId="2618E6B1" w:rsidR="00C71C79" w:rsidRPr="00C71C79" w:rsidRDefault="009207CF" w:rsidP="00EA2F1B">
      <w:pPr>
        <w:pStyle w:val="ListParagraph"/>
        <w:numPr>
          <w:ilvl w:val="0"/>
          <w:numId w:val="6"/>
        </w:numPr>
        <w:ind w:left="0" w:firstLine="0"/>
        <w:jc w:val="both"/>
        <w:rPr>
          <w:lang w:val="en-PH"/>
        </w:rPr>
      </w:pPr>
      <w:r w:rsidRPr="3B2E968E">
        <w:rPr>
          <w:b/>
          <w:bCs/>
        </w:rPr>
        <w:t xml:space="preserve">Ensuring food security. </w:t>
      </w:r>
      <w:r w:rsidR="00DD3774">
        <w:t>Georgia is a net food importer</w:t>
      </w:r>
      <w:r w:rsidR="003F60C3">
        <w:rPr>
          <w:rStyle w:val="FootnoteReference"/>
        </w:rPr>
        <w:footnoteReference w:id="55"/>
      </w:r>
      <w:r w:rsidR="009227C3">
        <w:t xml:space="preserve"> and </w:t>
      </w:r>
      <w:r w:rsidR="00125A5C">
        <w:t>highly import</w:t>
      </w:r>
      <w:r w:rsidR="003F60C3">
        <w:t>-</w:t>
      </w:r>
      <w:r w:rsidR="00125A5C">
        <w:t xml:space="preserve">dependent for </w:t>
      </w:r>
      <w:r w:rsidR="009227C3">
        <w:t>most</w:t>
      </w:r>
      <w:r w:rsidR="001F0283">
        <w:t xml:space="preserve"> food categories</w:t>
      </w:r>
      <w:r w:rsidR="00DD3774">
        <w:t>.</w:t>
      </w:r>
      <w:r w:rsidR="003F60C3">
        <w:rPr>
          <w:rStyle w:val="FootnoteReference"/>
        </w:rPr>
        <w:footnoteReference w:id="56"/>
      </w:r>
      <w:r w:rsidR="00DD3774">
        <w:t xml:space="preserve"> </w:t>
      </w:r>
      <w:r w:rsidR="003C415F">
        <w:t>This puts f</w:t>
      </w:r>
      <w:r w:rsidR="00B77288">
        <w:t xml:space="preserve">ood security </w:t>
      </w:r>
      <w:r w:rsidR="001D1B65">
        <w:t xml:space="preserve">at risk </w:t>
      </w:r>
      <w:r w:rsidR="00E4646E">
        <w:t xml:space="preserve">through </w:t>
      </w:r>
      <w:r w:rsidR="00D12295">
        <w:t>food export restrictions</w:t>
      </w:r>
      <w:r w:rsidR="00361AD3">
        <w:t xml:space="preserve">. </w:t>
      </w:r>
      <w:r w:rsidR="00E11656">
        <w:t>Food prices ha</w:t>
      </w:r>
      <w:r w:rsidR="001A242C">
        <w:t>d</w:t>
      </w:r>
      <w:r w:rsidR="00E11656">
        <w:t xml:space="preserve"> already risen</w:t>
      </w:r>
      <w:r w:rsidR="001A242C">
        <w:t xml:space="preserve"> before the COVID-19 pandemic</w:t>
      </w:r>
      <w:r w:rsidR="001365DF">
        <w:t>,</w:t>
      </w:r>
      <w:r w:rsidR="00E11656">
        <w:t xml:space="preserve"> </w:t>
      </w:r>
      <w:r w:rsidR="001365DF">
        <w:t>reaching 13.4% y</w:t>
      </w:r>
      <w:r w:rsidR="00AB3075">
        <w:t xml:space="preserve">ear </w:t>
      </w:r>
      <w:r w:rsidR="001365DF">
        <w:t>o</w:t>
      </w:r>
      <w:r w:rsidR="00AB3075">
        <w:t xml:space="preserve">n </w:t>
      </w:r>
      <w:r w:rsidR="001365DF">
        <w:t>y</w:t>
      </w:r>
      <w:r w:rsidR="00AB3075">
        <w:t>ear</w:t>
      </w:r>
      <w:r w:rsidR="001365DF">
        <w:t xml:space="preserve"> in March 2020 compared to 6.1% headline inflation, </w:t>
      </w:r>
      <w:r w:rsidR="00BA62D5">
        <w:t>because of</w:t>
      </w:r>
      <w:r w:rsidR="00816DE1">
        <w:t xml:space="preserve"> </w:t>
      </w:r>
      <w:r w:rsidR="000C4F05">
        <w:t>exchange rate depreciation</w:t>
      </w:r>
      <w:r w:rsidR="007A47B1">
        <w:t>.</w:t>
      </w:r>
      <w:r w:rsidR="007A47B1">
        <w:rPr>
          <w:rStyle w:val="FootnoteReference"/>
        </w:rPr>
        <w:footnoteReference w:id="57"/>
      </w:r>
      <w:r w:rsidR="00E361D2">
        <w:t xml:space="preserve"> </w:t>
      </w:r>
      <w:r w:rsidR="00F412AC">
        <w:t>The average s</w:t>
      </w:r>
      <w:r w:rsidR="00F412AC" w:rsidRPr="00F412AC">
        <w:t xml:space="preserve">hare of food consumption expenditure </w:t>
      </w:r>
      <w:r w:rsidR="00F412AC">
        <w:t>was 43</w:t>
      </w:r>
      <w:r w:rsidR="00F412AC" w:rsidRPr="00F412AC">
        <w:t>%</w:t>
      </w:r>
      <w:r w:rsidR="00F412AC">
        <w:t xml:space="preserve"> in 2018</w:t>
      </w:r>
      <w:r w:rsidR="00442ACC">
        <w:t xml:space="preserve">, which underlines </w:t>
      </w:r>
      <w:r w:rsidR="00D113F8">
        <w:t xml:space="preserve">the </w:t>
      </w:r>
      <w:r w:rsidR="00C31F5F">
        <w:t xml:space="preserve">social </w:t>
      </w:r>
      <w:r w:rsidR="00D113F8">
        <w:t>importance of food prices</w:t>
      </w:r>
      <w:r w:rsidR="00F412AC">
        <w:t xml:space="preserve">. </w:t>
      </w:r>
      <w:r w:rsidR="00530E05">
        <w:t xml:space="preserve">The </w:t>
      </w:r>
      <w:r w:rsidR="00530E05" w:rsidRPr="005511A7">
        <w:t>Ministry of Environment Protection and Agriculture of Georgi</w:t>
      </w:r>
      <w:r w:rsidR="00530E05">
        <w:t>a (MEPA)</w:t>
      </w:r>
      <w:r>
        <w:t xml:space="preserve"> has adopted </w:t>
      </w:r>
      <w:r w:rsidR="004F0BB9">
        <w:t xml:space="preserve">a range of </w:t>
      </w:r>
      <w:r>
        <w:t>measures</w:t>
      </w:r>
      <w:r w:rsidR="00A87B22">
        <w:t>, in the current situation,</w:t>
      </w:r>
      <w:r>
        <w:t xml:space="preserve"> to ensure food security</w:t>
      </w:r>
      <w:r w:rsidRPr="3B2E968E">
        <w:rPr>
          <w:b/>
          <w:bCs/>
        </w:rPr>
        <w:t>.</w:t>
      </w:r>
      <w:r>
        <w:t xml:space="preserve"> </w:t>
      </w:r>
      <w:r w:rsidR="00225EC1">
        <w:t xml:space="preserve">The </w:t>
      </w:r>
      <w:r w:rsidR="001D0D0A">
        <w:t xml:space="preserve">government </w:t>
      </w:r>
      <w:r w:rsidR="001F6DB2">
        <w:t xml:space="preserve">has launched </w:t>
      </w:r>
      <w:r w:rsidR="00805EA9">
        <w:t xml:space="preserve">measures to </w:t>
      </w:r>
      <w:r w:rsidR="00E2126C">
        <w:t>support domestic production</w:t>
      </w:r>
      <w:r w:rsidR="005D1B0E">
        <w:t xml:space="preserve"> </w:t>
      </w:r>
      <w:r w:rsidR="00CA6372">
        <w:t>of</w:t>
      </w:r>
      <w:r w:rsidR="00A87B22">
        <w:t xml:space="preserve"> </w:t>
      </w:r>
      <w:r w:rsidR="00D96F49">
        <w:t xml:space="preserve">more than </w:t>
      </w:r>
      <w:r w:rsidR="00A87B22">
        <w:t>GEL</w:t>
      </w:r>
      <w:r w:rsidR="00D96F49">
        <w:t>100</w:t>
      </w:r>
      <w:r w:rsidR="001D0D0A">
        <w:t xml:space="preserve"> million</w:t>
      </w:r>
      <w:r w:rsidR="00A87B22">
        <w:t xml:space="preserve"> </w:t>
      </w:r>
      <w:r w:rsidR="005D1B0E">
        <w:t>including</w:t>
      </w:r>
      <w:r w:rsidR="00813534">
        <w:t>:</w:t>
      </w:r>
      <w:r w:rsidR="00931590">
        <w:rPr>
          <w:rStyle w:val="FootnoteReference"/>
        </w:rPr>
        <w:footnoteReference w:id="58"/>
      </w:r>
      <w:r w:rsidR="00530E05">
        <w:t xml:space="preserve"> </w:t>
      </w:r>
      <w:r w:rsidR="00B56CDB">
        <w:t>(</w:t>
      </w:r>
      <w:r w:rsidR="006B252A">
        <w:t xml:space="preserve">i) </w:t>
      </w:r>
      <w:r w:rsidR="001D0D0A">
        <w:t>ensuring prices for basic foodstuffs for GEL26 million</w:t>
      </w:r>
      <w:r w:rsidR="00813534">
        <w:t>;</w:t>
      </w:r>
      <w:r w:rsidR="001D0D0A">
        <w:rPr>
          <w:rStyle w:val="FootnoteReference"/>
        </w:rPr>
        <w:footnoteReference w:id="59"/>
      </w:r>
      <w:r w:rsidR="001D0D0A">
        <w:t xml:space="preserve"> </w:t>
      </w:r>
      <w:r w:rsidR="00B56CDB">
        <w:t>(</w:t>
      </w:r>
      <w:r w:rsidR="001D0D0A">
        <w:t xml:space="preserve">ii) </w:t>
      </w:r>
      <w:r w:rsidR="00326AAF">
        <w:t xml:space="preserve">crop </w:t>
      </w:r>
      <w:r w:rsidR="006B252A" w:rsidRPr="006B252A">
        <w:t xml:space="preserve">loans </w:t>
      </w:r>
      <w:r w:rsidR="00326AAF">
        <w:t>for</w:t>
      </w:r>
      <w:r w:rsidR="00A638D6">
        <w:t xml:space="preserve"> GEL</w:t>
      </w:r>
      <w:r w:rsidR="006B252A" w:rsidRPr="006B252A">
        <w:t>50</w:t>
      </w:r>
      <w:r w:rsidR="00A638D6">
        <w:t xml:space="preserve"> million</w:t>
      </w:r>
      <w:r w:rsidR="00813534">
        <w:t>;</w:t>
      </w:r>
      <w:r w:rsidR="00636B3C">
        <w:rPr>
          <w:rStyle w:val="FootnoteReference"/>
        </w:rPr>
        <w:footnoteReference w:id="60"/>
      </w:r>
      <w:r w:rsidR="00A638D6">
        <w:t xml:space="preserve"> </w:t>
      </w:r>
      <w:r w:rsidR="00B56CDB">
        <w:br/>
        <w:t>(</w:t>
      </w:r>
      <w:r w:rsidR="001D0D0A">
        <w:t xml:space="preserve">iii) </w:t>
      </w:r>
      <w:r w:rsidR="00AF5780">
        <w:t xml:space="preserve">increased </w:t>
      </w:r>
      <w:r w:rsidR="008F169D">
        <w:t>maximal government</w:t>
      </w:r>
      <w:r w:rsidR="00547F44">
        <w:t xml:space="preserve"> </w:t>
      </w:r>
      <w:r w:rsidR="00F12BD3">
        <w:t xml:space="preserve">contribution </w:t>
      </w:r>
      <w:r w:rsidR="008A2141">
        <w:t xml:space="preserve">to finance fixed </w:t>
      </w:r>
      <w:r w:rsidR="004F4736">
        <w:t xml:space="preserve">agricultural </w:t>
      </w:r>
      <w:r w:rsidR="008A2141">
        <w:t xml:space="preserve">assets </w:t>
      </w:r>
      <w:r w:rsidR="00E23572">
        <w:t xml:space="preserve">from 8% to 11%; </w:t>
      </w:r>
      <w:r w:rsidR="00B56CDB">
        <w:t>(</w:t>
      </w:r>
      <w:r w:rsidR="007D342D">
        <w:t xml:space="preserve">iv) </w:t>
      </w:r>
      <w:r w:rsidR="000B68CE">
        <w:t>subsidize</w:t>
      </w:r>
      <w:r w:rsidR="00AF5780">
        <w:t>d</w:t>
      </w:r>
      <w:r w:rsidR="000B68CE">
        <w:t xml:space="preserve"> interest rates of up to 10% </w:t>
      </w:r>
      <w:r w:rsidR="004A632E">
        <w:t xml:space="preserve">for </w:t>
      </w:r>
      <w:r w:rsidR="00C6324D">
        <w:t>food industry</w:t>
      </w:r>
      <w:r w:rsidR="006D50D3">
        <w:t>;</w:t>
      </w:r>
      <w:r w:rsidR="00855BBC">
        <w:rPr>
          <w:rStyle w:val="FootnoteReference"/>
        </w:rPr>
        <w:footnoteReference w:id="61"/>
      </w:r>
      <w:r w:rsidR="00C6324D">
        <w:t xml:space="preserve"> </w:t>
      </w:r>
      <w:r w:rsidR="00B56CDB">
        <w:t>(</w:t>
      </w:r>
      <w:r w:rsidR="007D342D">
        <w:t xml:space="preserve">v) </w:t>
      </w:r>
      <w:r w:rsidR="00762851">
        <w:t>securing</w:t>
      </w:r>
      <w:r w:rsidR="00EF0B4B">
        <w:t xml:space="preserve"> collateral of up to 50% for </w:t>
      </w:r>
      <w:r w:rsidR="00762851">
        <w:t xml:space="preserve">livestock </w:t>
      </w:r>
      <w:r w:rsidR="00EF0B4B">
        <w:t xml:space="preserve">working capital </w:t>
      </w:r>
      <w:r w:rsidR="0063163C">
        <w:t>l</w:t>
      </w:r>
      <w:r w:rsidR="00B24C6C">
        <w:t>oans</w:t>
      </w:r>
      <w:r w:rsidR="00B174F7">
        <w:t>;</w:t>
      </w:r>
      <w:r w:rsidR="007D342D">
        <w:t xml:space="preserve"> </w:t>
      </w:r>
      <w:r w:rsidR="00B56CDB">
        <w:t>(</w:t>
      </w:r>
      <w:r w:rsidR="007D342D">
        <w:t>vi)</w:t>
      </w:r>
      <w:r w:rsidR="00B174F7">
        <w:t xml:space="preserve"> </w:t>
      </w:r>
      <w:r w:rsidR="00937CFF">
        <w:t xml:space="preserve">support </w:t>
      </w:r>
      <w:r w:rsidR="00D75CF9">
        <w:t>smallholder milk production with GEL3 million</w:t>
      </w:r>
      <w:r w:rsidR="006D50D3">
        <w:t>;</w:t>
      </w:r>
      <w:r w:rsidR="00F614C7">
        <w:rPr>
          <w:rStyle w:val="FootnoteReference"/>
        </w:rPr>
        <w:footnoteReference w:id="62"/>
      </w:r>
      <w:r w:rsidR="00F614C7">
        <w:t xml:space="preserve"> </w:t>
      </w:r>
      <w:r w:rsidR="00B56CDB">
        <w:t>(</w:t>
      </w:r>
      <w:r w:rsidR="00230163">
        <w:t xml:space="preserve">vii) </w:t>
      </w:r>
      <w:r w:rsidR="00A05967">
        <w:t>subsidizing wheat import</w:t>
      </w:r>
      <w:r w:rsidR="00B24C6C">
        <w:t>s</w:t>
      </w:r>
      <w:r w:rsidR="00A05967">
        <w:t xml:space="preserve"> </w:t>
      </w:r>
      <w:r w:rsidR="00465960">
        <w:t>with GEL5.2 million</w:t>
      </w:r>
      <w:r w:rsidR="00A75DA2">
        <w:t xml:space="preserve">; </w:t>
      </w:r>
      <w:r w:rsidR="00B56CDB">
        <w:t>(</w:t>
      </w:r>
      <w:r w:rsidR="00230163">
        <w:t xml:space="preserve">viii) </w:t>
      </w:r>
      <w:r w:rsidR="00A75DA2">
        <w:t xml:space="preserve">expansion of </w:t>
      </w:r>
      <w:r w:rsidR="00F92164">
        <w:t xml:space="preserve">crop insurance </w:t>
      </w:r>
      <w:r w:rsidR="00B34BB3">
        <w:t>by GEL9 million</w:t>
      </w:r>
      <w:r w:rsidR="001C2C63">
        <w:t xml:space="preserve">; and </w:t>
      </w:r>
      <w:r w:rsidR="00B56CDB">
        <w:t>(</w:t>
      </w:r>
      <w:r w:rsidR="00F33D1E">
        <w:t xml:space="preserve">ix) </w:t>
      </w:r>
      <w:r w:rsidR="001C2C63">
        <w:t xml:space="preserve">renewing the </w:t>
      </w:r>
      <w:r w:rsidR="0092643B">
        <w:t>Agricultural Support Program with GEL10 million</w:t>
      </w:r>
      <w:r w:rsidR="009D01D3">
        <w:t>.</w:t>
      </w:r>
      <w:r w:rsidR="00B24C6C">
        <w:rPr>
          <w:rStyle w:val="FootnoteReference"/>
        </w:rPr>
        <w:footnoteReference w:id="63"/>
      </w:r>
      <w:r w:rsidR="006338EC">
        <w:t xml:space="preserve"> </w:t>
      </w:r>
      <w:r w:rsidR="00AB3075">
        <w:t xml:space="preserve">Government will focus on SMEs in the agriculture sector, relying on the registry of existing support schemes to identify beneficiaries. </w:t>
      </w:r>
      <w:r w:rsidR="006338EC">
        <w:t xml:space="preserve">In addition, </w:t>
      </w:r>
      <w:r w:rsidR="00E421D0">
        <w:t>MEPA, together with</w:t>
      </w:r>
      <w:r w:rsidR="005511A7" w:rsidRPr="005511A7">
        <w:t xml:space="preserve"> </w:t>
      </w:r>
      <w:r w:rsidR="006E294F">
        <w:t>t</w:t>
      </w:r>
      <w:r w:rsidR="005511A7" w:rsidRPr="005511A7">
        <w:t>he European Union</w:t>
      </w:r>
      <w:r w:rsidR="006E294F">
        <w:t xml:space="preserve">, </w:t>
      </w:r>
      <w:r w:rsidR="005511A7" w:rsidRPr="005511A7">
        <w:t xml:space="preserve">and </w:t>
      </w:r>
      <w:r w:rsidR="00B24C6C">
        <w:t xml:space="preserve">the </w:t>
      </w:r>
      <w:r w:rsidR="005511A7" w:rsidRPr="005511A7">
        <w:t>Food and Agriculture Organization of the United Nations</w:t>
      </w:r>
      <w:r w:rsidR="00291529">
        <w:t xml:space="preserve"> (FAO)</w:t>
      </w:r>
      <w:r w:rsidR="00E421D0">
        <w:t>,</w:t>
      </w:r>
      <w:r w:rsidR="005511A7" w:rsidRPr="005511A7">
        <w:t xml:space="preserve"> awarded 50 matching grants for a total amount of GEL2.2 million to support food production and security</w:t>
      </w:r>
      <w:r w:rsidR="00B24C6C">
        <w:t>.</w:t>
      </w:r>
      <w:r w:rsidR="008C6EEF" w:rsidRPr="006338EC" w:rsidDel="005511A7">
        <w:rPr>
          <w:highlight w:val="yellow"/>
        </w:rPr>
        <w:t xml:space="preserve"> </w:t>
      </w:r>
    </w:p>
    <w:p w14:paraId="0CC75B73" w14:textId="77777777" w:rsidR="000D28AB" w:rsidRPr="000D28AB" w:rsidRDefault="000D28AB" w:rsidP="000D28AB">
      <w:pPr>
        <w:pStyle w:val="ListParagraph"/>
        <w:ind w:left="0"/>
        <w:jc w:val="both"/>
        <w:rPr>
          <w:lang w:val="en-PH"/>
        </w:rPr>
      </w:pPr>
    </w:p>
    <w:p w14:paraId="68327989" w14:textId="50160CA0" w:rsidR="000D28AB" w:rsidRPr="00002199" w:rsidRDefault="005A5B82" w:rsidP="009C2C0E">
      <w:pPr>
        <w:pStyle w:val="ListParagraph"/>
        <w:numPr>
          <w:ilvl w:val="0"/>
          <w:numId w:val="6"/>
        </w:numPr>
        <w:ind w:left="0" w:firstLine="0"/>
        <w:jc w:val="both"/>
        <w:rPr>
          <w:lang w:val="en-PH"/>
        </w:rPr>
      </w:pPr>
      <w:r>
        <w:rPr>
          <w:b/>
          <w:bCs/>
        </w:rPr>
        <w:t>Pro-poor and gender responsive</w:t>
      </w:r>
      <w:r w:rsidR="000D28AB" w:rsidRPr="005A5B82">
        <w:rPr>
          <w:b/>
          <w:bCs/>
        </w:rPr>
        <w:t xml:space="preserve"> </w:t>
      </w:r>
      <w:r w:rsidRPr="005A5B82">
        <w:rPr>
          <w:b/>
          <w:bCs/>
        </w:rPr>
        <w:t>response program</w:t>
      </w:r>
      <w:r>
        <w:t>.</w:t>
      </w:r>
      <w:r>
        <w:rPr>
          <w:lang w:val="en-PH"/>
        </w:rPr>
        <w:t xml:space="preserve"> </w:t>
      </w:r>
      <w:r w:rsidR="0083743F">
        <w:rPr>
          <w:lang w:val="en-PH"/>
        </w:rPr>
        <w:t xml:space="preserve">Georgia’s Anti-Crisis Plan effectively addresses the needs of the poor and </w:t>
      </w:r>
      <w:r w:rsidR="005B4F12">
        <w:rPr>
          <w:lang w:val="en-PH"/>
        </w:rPr>
        <w:t>vulnerable</w:t>
      </w:r>
      <w:r w:rsidR="00270957">
        <w:rPr>
          <w:lang w:val="en-PH"/>
        </w:rPr>
        <w:t xml:space="preserve"> including women, children and people living with disabilities. </w:t>
      </w:r>
      <w:r w:rsidR="00CD3FD6">
        <w:rPr>
          <w:lang w:val="en-PH"/>
        </w:rPr>
        <w:t xml:space="preserve">Through increasing health spending, the </w:t>
      </w:r>
      <w:proofErr w:type="spellStart"/>
      <w:r w:rsidR="00CD3FD6">
        <w:rPr>
          <w:lang w:val="en-PH"/>
        </w:rPr>
        <w:t>MoILHSA</w:t>
      </w:r>
      <w:proofErr w:type="spellEnd"/>
      <w:r w:rsidR="00E83343">
        <w:rPr>
          <w:lang w:val="en-PH"/>
        </w:rPr>
        <w:t xml:space="preserve"> will </w:t>
      </w:r>
      <w:r w:rsidR="0051429B">
        <w:rPr>
          <w:lang w:val="en-PH"/>
        </w:rPr>
        <w:t>help</w:t>
      </w:r>
      <w:r w:rsidR="00E83343">
        <w:rPr>
          <w:lang w:val="en-PH"/>
        </w:rPr>
        <w:t xml:space="preserve"> protect all frontline medical workers from contagion, 62% of which are women. </w:t>
      </w:r>
      <w:r w:rsidR="00E816D7">
        <w:rPr>
          <w:lang w:val="en-PH"/>
        </w:rPr>
        <w:t xml:space="preserve">By ensuring that all COVID-19 related </w:t>
      </w:r>
      <w:r w:rsidR="007B1C8F">
        <w:rPr>
          <w:lang w:val="en-PH"/>
        </w:rPr>
        <w:t>diagnosis</w:t>
      </w:r>
      <w:r w:rsidR="00E816D7">
        <w:rPr>
          <w:lang w:val="en-PH"/>
        </w:rPr>
        <w:t xml:space="preserve"> and treatment </w:t>
      </w:r>
      <w:r w:rsidR="00AA46B6">
        <w:rPr>
          <w:lang w:val="en-PH"/>
        </w:rPr>
        <w:t>are</w:t>
      </w:r>
      <w:r w:rsidR="00E816D7">
        <w:rPr>
          <w:lang w:val="en-PH"/>
        </w:rPr>
        <w:t xml:space="preserve"> provided free of charge, </w:t>
      </w:r>
      <w:r w:rsidR="000C4E6C">
        <w:rPr>
          <w:lang w:val="en-PH"/>
        </w:rPr>
        <w:t>the government is also safeguarding</w:t>
      </w:r>
      <w:r w:rsidR="007B1C8F">
        <w:rPr>
          <w:lang w:val="en-PH"/>
        </w:rPr>
        <w:t xml:space="preserve"> the poorest </w:t>
      </w:r>
      <w:r w:rsidR="00567CAA">
        <w:rPr>
          <w:lang w:val="en-PH"/>
        </w:rPr>
        <w:t>from a potential increase in out-of-pocket expenditure on healthcare. This is likely to benefit</w:t>
      </w:r>
      <w:r w:rsidR="000C4E6C">
        <w:rPr>
          <w:lang w:val="en-PH"/>
        </w:rPr>
        <w:t xml:space="preserve"> women-headed households </w:t>
      </w:r>
      <w:r w:rsidR="00567CAA">
        <w:rPr>
          <w:lang w:val="en-PH"/>
        </w:rPr>
        <w:t>which spend, on average,</w:t>
      </w:r>
      <w:r w:rsidR="000C4E6C">
        <w:rPr>
          <w:lang w:val="en-PH"/>
        </w:rPr>
        <w:t xml:space="preserve"> </w:t>
      </w:r>
      <w:r w:rsidR="00567CAA">
        <w:rPr>
          <w:lang w:val="en-PH"/>
        </w:rPr>
        <w:t xml:space="preserve">1% more on healthcare than </w:t>
      </w:r>
      <w:r w:rsidR="000C4E6C">
        <w:rPr>
          <w:lang w:val="en-PH"/>
        </w:rPr>
        <w:t xml:space="preserve">men-headed </w:t>
      </w:r>
      <w:r w:rsidR="00567CAA">
        <w:rPr>
          <w:lang w:val="en-PH"/>
        </w:rPr>
        <w:t xml:space="preserve">households </w:t>
      </w:r>
      <w:r w:rsidR="000C4E6C">
        <w:rPr>
          <w:lang w:val="en-PH"/>
        </w:rPr>
        <w:t>in 2016.</w:t>
      </w:r>
      <w:r w:rsidR="00B12F1D">
        <w:rPr>
          <w:rStyle w:val="FootnoteReference"/>
          <w:lang w:val="en-PH"/>
        </w:rPr>
        <w:footnoteReference w:id="64"/>
      </w:r>
      <w:r w:rsidR="000C4E6C">
        <w:rPr>
          <w:lang w:val="en-PH"/>
        </w:rPr>
        <w:t xml:space="preserve"> </w:t>
      </w:r>
      <w:r w:rsidR="00977AC9">
        <w:rPr>
          <w:lang w:val="en-PH"/>
        </w:rPr>
        <w:t xml:space="preserve">Under its private sector support </w:t>
      </w:r>
      <w:r w:rsidR="00713156">
        <w:rPr>
          <w:lang w:val="en-PH"/>
        </w:rPr>
        <w:t>package</w:t>
      </w:r>
      <w:r w:rsidR="00977AC9">
        <w:rPr>
          <w:lang w:val="en-PH"/>
        </w:rPr>
        <w:t>,</w:t>
      </w:r>
      <w:r w:rsidR="00713156">
        <w:rPr>
          <w:lang w:val="en-PH"/>
        </w:rPr>
        <w:t xml:space="preserve"> the </w:t>
      </w:r>
      <w:r w:rsidR="00713156">
        <w:rPr>
          <w:lang w:val="en-PH"/>
        </w:rPr>
        <w:lastRenderedPageBreak/>
        <w:t xml:space="preserve">government </w:t>
      </w:r>
      <w:r w:rsidR="00521438">
        <w:rPr>
          <w:lang w:val="en-PH"/>
        </w:rPr>
        <w:t>will protect all the 40% of Georgians living near the poverty line, which rely on labor income for their livelihoods by avoiding mass retrenchment</w:t>
      </w:r>
      <w:r w:rsidR="00C57058">
        <w:rPr>
          <w:lang w:val="en-PH"/>
        </w:rPr>
        <w:t>.</w:t>
      </w:r>
      <w:r w:rsidR="004F5900">
        <w:rPr>
          <w:lang w:val="en-PH"/>
        </w:rPr>
        <w:t xml:space="preserve"> </w:t>
      </w:r>
      <w:r w:rsidR="00EF4C6C">
        <w:rPr>
          <w:lang w:val="en-PH"/>
        </w:rPr>
        <w:t xml:space="preserve">Targeted support to firms in the </w:t>
      </w:r>
      <w:r w:rsidR="00C57058">
        <w:rPr>
          <w:lang w:val="en-PH"/>
        </w:rPr>
        <w:t>hospitality</w:t>
      </w:r>
      <w:r w:rsidR="00C51C0B">
        <w:rPr>
          <w:lang w:val="en-PH"/>
        </w:rPr>
        <w:t xml:space="preserve"> and food services</w:t>
      </w:r>
      <w:r w:rsidR="00C57058">
        <w:rPr>
          <w:lang w:val="en-PH"/>
        </w:rPr>
        <w:t xml:space="preserve"> sector</w:t>
      </w:r>
      <w:r w:rsidR="003C24F8">
        <w:rPr>
          <w:lang w:val="en-PH"/>
        </w:rPr>
        <w:t xml:space="preserve"> is particularly important to safeguard the </w:t>
      </w:r>
      <w:r w:rsidR="006F370A">
        <w:rPr>
          <w:lang w:val="en-PH"/>
        </w:rPr>
        <w:t>economic wellbeing</w:t>
      </w:r>
      <w:r w:rsidR="003C24F8">
        <w:rPr>
          <w:lang w:val="en-PH"/>
        </w:rPr>
        <w:t xml:space="preserve"> of</w:t>
      </w:r>
      <w:r w:rsidR="006F370A">
        <w:rPr>
          <w:lang w:val="en-PH"/>
        </w:rPr>
        <w:t xml:space="preserve"> Georgian</w:t>
      </w:r>
      <w:r w:rsidR="003C24F8">
        <w:rPr>
          <w:lang w:val="en-PH"/>
        </w:rPr>
        <w:t xml:space="preserve"> women, which constitute 60% of </w:t>
      </w:r>
      <w:r w:rsidR="00E91C30">
        <w:rPr>
          <w:lang w:val="en-PH"/>
        </w:rPr>
        <w:t>hired</w:t>
      </w:r>
      <w:r w:rsidR="003C24F8">
        <w:rPr>
          <w:lang w:val="en-PH"/>
        </w:rPr>
        <w:t xml:space="preserve"> </w:t>
      </w:r>
      <w:r w:rsidR="00E91C30">
        <w:rPr>
          <w:lang w:val="en-PH"/>
        </w:rPr>
        <w:t>workers</w:t>
      </w:r>
      <w:r w:rsidR="003C24F8">
        <w:rPr>
          <w:lang w:val="en-PH"/>
        </w:rPr>
        <w:t xml:space="preserve"> in the sector. </w:t>
      </w:r>
      <w:r w:rsidR="005603DF">
        <w:rPr>
          <w:lang w:val="en-PH"/>
        </w:rPr>
        <w:t xml:space="preserve">Support to SMEs is also of critical importance to </w:t>
      </w:r>
      <w:r w:rsidR="006A3877">
        <w:rPr>
          <w:lang w:val="en-PH"/>
        </w:rPr>
        <w:t xml:space="preserve">safeguard progress made in the economic empowerment of women over recent years. </w:t>
      </w:r>
      <w:r w:rsidR="00C564FD">
        <w:rPr>
          <w:lang w:val="en-PH"/>
        </w:rPr>
        <w:t>As of 2018, 67% of all women employed in the private sector worked for SMEs</w:t>
      </w:r>
      <w:r w:rsidR="0057566B">
        <w:rPr>
          <w:lang w:val="en-PH"/>
        </w:rPr>
        <w:t>,</w:t>
      </w:r>
      <w:r w:rsidR="00726A68">
        <w:rPr>
          <w:lang w:val="en-PH"/>
        </w:rPr>
        <w:t xml:space="preserve"> and </w:t>
      </w:r>
      <w:r w:rsidR="004C6483">
        <w:rPr>
          <w:lang w:val="en-PH"/>
        </w:rPr>
        <w:t>33</w:t>
      </w:r>
      <w:r w:rsidR="00726A68">
        <w:rPr>
          <w:lang w:val="en-PH"/>
        </w:rPr>
        <w:t xml:space="preserve">% </w:t>
      </w:r>
      <w:r w:rsidR="0057566B">
        <w:rPr>
          <w:lang w:val="en-PH"/>
        </w:rPr>
        <w:t>of them</w:t>
      </w:r>
      <w:r w:rsidR="00726A68">
        <w:rPr>
          <w:lang w:val="en-PH"/>
        </w:rPr>
        <w:t xml:space="preserve"> are n</w:t>
      </w:r>
      <w:r w:rsidR="00CF2683">
        <w:rPr>
          <w:lang w:val="en-PH"/>
        </w:rPr>
        <w:t>o</w:t>
      </w:r>
      <w:r w:rsidR="00726A68">
        <w:rPr>
          <w:lang w:val="en-PH"/>
        </w:rPr>
        <w:t xml:space="preserve">w </w:t>
      </w:r>
      <w:r w:rsidR="00EF4C6C">
        <w:rPr>
          <w:lang w:val="en-PH"/>
        </w:rPr>
        <w:t xml:space="preserve">owned or managed by </w:t>
      </w:r>
      <w:r w:rsidR="006E05F3">
        <w:rPr>
          <w:lang w:val="en-PH"/>
        </w:rPr>
        <w:t>women</w:t>
      </w:r>
      <w:r w:rsidR="00726A68">
        <w:rPr>
          <w:lang w:val="en-PH"/>
        </w:rPr>
        <w:t>.</w:t>
      </w:r>
      <w:r w:rsidR="007C6BE9">
        <w:rPr>
          <w:rStyle w:val="FootnoteReference"/>
          <w:lang w:val="en-PH"/>
        </w:rPr>
        <w:footnoteReference w:id="65"/>
      </w:r>
      <w:r w:rsidR="000E406D">
        <w:rPr>
          <w:lang w:val="en-PH"/>
        </w:rPr>
        <w:t xml:space="preserve"> </w:t>
      </w:r>
      <w:r w:rsidR="002D2C46">
        <w:rPr>
          <w:lang w:val="en-PH"/>
        </w:rPr>
        <w:t xml:space="preserve">The government’s social assistance package has been tailored to mitigate the adverse effects of the COVID-19 crisis on the poor and vulnerable. </w:t>
      </w:r>
      <w:r w:rsidR="005F2B12">
        <w:rPr>
          <w:lang w:val="en-PH"/>
        </w:rPr>
        <w:t>The temporary unemployment subsidy put in place will help newly laid</w:t>
      </w:r>
      <w:r w:rsidR="004E26FB">
        <w:rPr>
          <w:lang w:val="en-PH"/>
        </w:rPr>
        <w:t>-</w:t>
      </w:r>
      <w:r w:rsidR="005F2B12">
        <w:rPr>
          <w:lang w:val="en-PH"/>
        </w:rPr>
        <w:t>off Georgians</w:t>
      </w:r>
      <w:r w:rsidR="004E26FB">
        <w:rPr>
          <w:lang w:val="en-PH"/>
        </w:rPr>
        <w:t xml:space="preserve"> sustain their livelihoods until they are again able to </w:t>
      </w:r>
      <w:r w:rsidR="00287B5E">
        <w:rPr>
          <w:lang w:val="en-PH"/>
        </w:rPr>
        <w:t>seek employment opportunities</w:t>
      </w:r>
      <w:r w:rsidR="007A1D78">
        <w:rPr>
          <w:lang w:val="en-PH"/>
        </w:rPr>
        <w:t xml:space="preserve">. This will help mitigate resurgence in poverty incidence as a result of </w:t>
      </w:r>
      <w:r w:rsidR="00287B5E">
        <w:rPr>
          <w:lang w:val="en-PH"/>
        </w:rPr>
        <w:t>friction unemployment</w:t>
      </w:r>
      <w:r w:rsidR="007A1D78">
        <w:rPr>
          <w:lang w:val="en-PH"/>
        </w:rPr>
        <w:t xml:space="preserve">. </w:t>
      </w:r>
      <w:r w:rsidR="00131937">
        <w:rPr>
          <w:lang w:val="en-PH"/>
        </w:rPr>
        <w:t>T</w:t>
      </w:r>
      <w:r w:rsidR="007A1D78">
        <w:rPr>
          <w:lang w:val="en-PH"/>
        </w:rPr>
        <w:t xml:space="preserve">he package </w:t>
      </w:r>
      <w:r w:rsidR="00131937">
        <w:rPr>
          <w:lang w:val="en-PH"/>
        </w:rPr>
        <w:t xml:space="preserve">also </w:t>
      </w:r>
      <w:r w:rsidR="007A1D78">
        <w:rPr>
          <w:lang w:val="en-PH"/>
        </w:rPr>
        <w:t xml:space="preserve">includes </w:t>
      </w:r>
      <w:r w:rsidR="00DD466C">
        <w:rPr>
          <w:lang w:val="en-PH"/>
        </w:rPr>
        <w:t>increase</w:t>
      </w:r>
      <w:r w:rsidR="00002199">
        <w:rPr>
          <w:lang w:val="en-PH"/>
        </w:rPr>
        <w:t>s</w:t>
      </w:r>
      <w:r w:rsidR="00DD466C">
        <w:rPr>
          <w:lang w:val="en-PH"/>
        </w:rPr>
        <w:t xml:space="preserve"> in the coverage of the TSA, where 55% of beneficiaries are women.  This </w:t>
      </w:r>
      <w:r w:rsidR="00131937">
        <w:rPr>
          <w:lang w:val="en-PH"/>
        </w:rPr>
        <w:t xml:space="preserve">will ensure that individuals that </w:t>
      </w:r>
      <w:r w:rsidR="00002199">
        <w:rPr>
          <w:lang w:val="en-PH"/>
        </w:rPr>
        <w:t>fall</w:t>
      </w:r>
      <w:r w:rsidR="00131937">
        <w:rPr>
          <w:lang w:val="en-PH"/>
        </w:rPr>
        <w:t xml:space="preserve"> into poverty due to COVID-19 are provided adequate financial support to meet their basic needs. Finally, the government’s Anti-</w:t>
      </w:r>
      <w:r w:rsidR="005947F1">
        <w:rPr>
          <w:lang w:val="en-PH"/>
        </w:rPr>
        <w:t>C</w:t>
      </w:r>
      <w:r w:rsidR="00131937">
        <w:rPr>
          <w:lang w:val="en-PH"/>
        </w:rPr>
        <w:t xml:space="preserve">risis Plan also </w:t>
      </w:r>
      <w:r w:rsidR="00975467">
        <w:rPr>
          <w:lang w:val="en-PH"/>
        </w:rPr>
        <w:t xml:space="preserve">includes measures to assist </w:t>
      </w:r>
      <w:r w:rsidR="00283841">
        <w:rPr>
          <w:lang w:val="en-PH"/>
        </w:rPr>
        <w:t>large families as well as people living with acute disabilities</w:t>
      </w:r>
      <w:r w:rsidR="00975467">
        <w:rPr>
          <w:lang w:val="en-PH"/>
        </w:rPr>
        <w:t xml:space="preserve">. </w:t>
      </w:r>
    </w:p>
    <w:p w14:paraId="1486B72A" w14:textId="1F24B4E1" w:rsidR="00680496" w:rsidRDefault="00680496" w:rsidP="00680496">
      <w:pPr>
        <w:rPr>
          <w:b/>
          <w:lang w:eastAsia="zh-CN"/>
        </w:rPr>
      </w:pPr>
    </w:p>
    <w:p w14:paraId="010CF831" w14:textId="1BC74F79" w:rsidR="0075518C" w:rsidRDefault="0075518C" w:rsidP="006218E6">
      <w:pPr>
        <w:pStyle w:val="Heading2"/>
        <w:ind w:left="0" w:firstLine="0"/>
        <w:rPr>
          <w:lang w:eastAsia="zh-CN"/>
        </w:rPr>
      </w:pPr>
      <w:bookmarkStart w:id="14" w:name="_Toc39790008"/>
      <w:r>
        <w:rPr>
          <w:lang w:eastAsia="zh-CN"/>
        </w:rPr>
        <w:t>Proposed Program</w:t>
      </w:r>
      <w:r w:rsidR="00330E9B">
        <w:rPr>
          <w:lang w:eastAsia="zh-CN"/>
        </w:rPr>
        <w:t xml:space="preserve"> and</w:t>
      </w:r>
      <w:r>
        <w:rPr>
          <w:lang w:eastAsia="zh-CN"/>
        </w:rPr>
        <w:t xml:space="preserve"> ADB’s Value Addition</w:t>
      </w:r>
      <w:bookmarkEnd w:id="14"/>
      <w:r w:rsidR="001E4C79">
        <w:rPr>
          <w:lang w:eastAsia="zh-CN"/>
        </w:rPr>
        <w:t xml:space="preserve"> </w:t>
      </w:r>
    </w:p>
    <w:p w14:paraId="124F9070" w14:textId="7E3729CD" w:rsidR="0075518C" w:rsidRDefault="0075518C" w:rsidP="006218E6">
      <w:pPr>
        <w:rPr>
          <w:lang w:eastAsia="zh-CN"/>
        </w:rPr>
      </w:pPr>
    </w:p>
    <w:p w14:paraId="20ADFCF4" w14:textId="5CE7DF61" w:rsidR="00D242CA" w:rsidRPr="00801136" w:rsidRDefault="00CC0443" w:rsidP="00EA2F1B">
      <w:pPr>
        <w:pStyle w:val="ListParagraph"/>
        <w:numPr>
          <w:ilvl w:val="0"/>
          <w:numId w:val="6"/>
        </w:numPr>
        <w:ind w:left="0" w:firstLine="0"/>
        <w:jc w:val="both"/>
        <w:rPr>
          <w:lang w:val="en-PH"/>
        </w:rPr>
      </w:pPr>
      <w:r>
        <w:rPr>
          <w:rFonts w:cs="Arial"/>
          <w:color w:val="000000" w:themeColor="text1"/>
        </w:rPr>
        <w:t xml:space="preserve">The </w:t>
      </w:r>
      <w:r w:rsidR="004F2893">
        <w:rPr>
          <w:rFonts w:cs="Arial"/>
          <w:color w:val="000000" w:themeColor="text1"/>
        </w:rPr>
        <w:t xml:space="preserve">proposed </w:t>
      </w:r>
      <w:r>
        <w:rPr>
          <w:rFonts w:cs="Arial"/>
          <w:color w:val="000000" w:themeColor="text1"/>
        </w:rPr>
        <w:t>CARES Program will be a critical component of the government’s efforts to mitigate the adverse impact of COVID-19 on</w:t>
      </w:r>
      <w:r w:rsidR="00BB1A99">
        <w:rPr>
          <w:rFonts w:cs="Arial"/>
          <w:color w:val="000000" w:themeColor="text1"/>
        </w:rPr>
        <w:t xml:space="preserve"> the </w:t>
      </w:r>
      <w:r w:rsidR="003F0B04">
        <w:rPr>
          <w:rFonts w:cs="Arial"/>
          <w:color w:val="000000" w:themeColor="text1"/>
        </w:rPr>
        <w:t>health</w:t>
      </w:r>
      <w:r w:rsidR="00BB1A99">
        <w:rPr>
          <w:rFonts w:cs="Arial"/>
          <w:color w:val="000000" w:themeColor="text1"/>
        </w:rPr>
        <w:t xml:space="preserve"> and welfare </w:t>
      </w:r>
      <w:r>
        <w:rPr>
          <w:rFonts w:cs="Arial"/>
          <w:color w:val="000000" w:themeColor="text1"/>
        </w:rPr>
        <w:t>of Georgians.</w:t>
      </w:r>
      <w:r w:rsidR="002324C5">
        <w:rPr>
          <w:rFonts w:cs="Arial"/>
          <w:color w:val="000000" w:themeColor="text1"/>
        </w:rPr>
        <w:t xml:space="preserve"> </w:t>
      </w:r>
      <w:r w:rsidR="0075518C" w:rsidRPr="00CC0443">
        <w:t>The Program is aligned with the following overarching development objective</w:t>
      </w:r>
      <w:r w:rsidR="00527BB8">
        <w:t xml:space="preserve"> of the Anti</w:t>
      </w:r>
      <w:r w:rsidR="00794675">
        <w:t>-</w:t>
      </w:r>
      <w:r w:rsidR="00527BB8">
        <w:t>Crisis Plan</w:t>
      </w:r>
      <w:r w:rsidR="0075518C" w:rsidRPr="00CC0443">
        <w:t xml:space="preserve">: </w:t>
      </w:r>
      <w:r w:rsidR="00161975" w:rsidRPr="00161975">
        <w:t>Health and economic impacts of COVID-19 in Georgia are mitigated, protecting the most vulnerable</w:t>
      </w:r>
      <w:r w:rsidR="0075518C" w:rsidRPr="00CC0443">
        <w:t>.</w:t>
      </w:r>
      <w:r w:rsidR="0075518C">
        <w:t xml:space="preserve"> The program will have the following </w:t>
      </w:r>
      <w:r w:rsidR="00527BB8">
        <w:t>effect</w:t>
      </w:r>
      <w:r w:rsidR="0075518C">
        <w:t xml:space="preserve">: </w:t>
      </w:r>
      <w:r w:rsidR="002D2ABE">
        <w:t>Rate of spread of COVID-19 is managed, the economic burden on affected businesses is mitigated and increase in poverty is contained</w:t>
      </w:r>
      <w:r w:rsidR="0075518C">
        <w:t xml:space="preserve">. The program is structured around three </w:t>
      </w:r>
      <w:r w:rsidR="00801136">
        <w:t>output</w:t>
      </w:r>
      <w:r w:rsidR="0075518C">
        <w:t xml:space="preserve"> areas: (i) </w:t>
      </w:r>
      <w:r w:rsidR="00794675">
        <w:rPr>
          <w:lang w:val="en-PH"/>
        </w:rPr>
        <w:t>m</w:t>
      </w:r>
      <w:r w:rsidR="00801136" w:rsidRPr="00801136">
        <w:rPr>
          <w:lang w:val="en-PH"/>
        </w:rPr>
        <w:t>easures taken to combat the spread of COVID-19 and health sector response capacity strengthened</w:t>
      </w:r>
      <w:r w:rsidR="0075518C">
        <w:t xml:space="preserve">; (ii) </w:t>
      </w:r>
      <w:r w:rsidR="00187E4F">
        <w:t>affected private sector entities</w:t>
      </w:r>
      <w:r w:rsidR="0075518C">
        <w:rPr>
          <w:rFonts w:eastAsiaTheme="minorEastAsia"/>
        </w:rPr>
        <w:t xml:space="preserve"> </w:t>
      </w:r>
      <w:r w:rsidR="0075518C">
        <w:t>are assisted</w:t>
      </w:r>
      <w:r w:rsidR="0075518C" w:rsidRPr="6107BAEB">
        <w:rPr>
          <w:rFonts w:eastAsiaTheme="minorEastAsia"/>
        </w:rPr>
        <w:t>;</w:t>
      </w:r>
      <w:r w:rsidR="0075518C">
        <w:t xml:space="preserve"> and (iii) </w:t>
      </w:r>
      <w:r w:rsidR="0075518C">
        <w:rPr>
          <w:rFonts w:eastAsiaTheme="minorEastAsia"/>
        </w:rPr>
        <w:t>l</w:t>
      </w:r>
      <w:r w:rsidR="0075518C" w:rsidRPr="6107BAEB">
        <w:rPr>
          <w:rFonts w:eastAsiaTheme="minorEastAsia"/>
        </w:rPr>
        <w:t>ivelihoods of the most vulnerable segments of the population are protected</w:t>
      </w:r>
      <w:r w:rsidR="0075518C">
        <w:rPr>
          <w:rFonts w:eastAsiaTheme="minorEastAsia"/>
        </w:rPr>
        <w:t>.</w:t>
      </w:r>
    </w:p>
    <w:p w14:paraId="59207204" w14:textId="77777777" w:rsidR="00680496" w:rsidRPr="00680496" w:rsidRDefault="00680496" w:rsidP="00680496"/>
    <w:p w14:paraId="45D21846" w14:textId="793DEE0E" w:rsidR="003A2282" w:rsidRPr="001F448B" w:rsidRDefault="003A2282" w:rsidP="00EA2F1B">
      <w:pPr>
        <w:pStyle w:val="ListParagraph"/>
        <w:numPr>
          <w:ilvl w:val="0"/>
          <w:numId w:val="6"/>
        </w:numPr>
        <w:ind w:left="0" w:firstLine="0"/>
        <w:jc w:val="both"/>
        <w:rPr>
          <w:lang w:val="en-PH"/>
        </w:rPr>
      </w:pPr>
      <w:r w:rsidRPr="00384F0E">
        <w:rPr>
          <w:rFonts w:cs="Arial"/>
          <w:b/>
          <w:bCs/>
          <w:color w:val="000000" w:themeColor="text1"/>
        </w:rPr>
        <w:t>ADB’s value addition</w:t>
      </w:r>
      <w:r>
        <w:rPr>
          <w:rFonts w:cs="Arial"/>
          <w:b/>
          <w:bCs/>
          <w:color w:val="000000" w:themeColor="text1"/>
        </w:rPr>
        <w:t xml:space="preserve">. </w:t>
      </w:r>
      <w:r w:rsidRPr="00384F0E">
        <w:rPr>
          <w:rFonts w:cs="Arial"/>
          <w:color w:val="000000" w:themeColor="text1"/>
        </w:rPr>
        <w:t>A</w:t>
      </w:r>
      <w:r>
        <w:rPr>
          <w:rFonts w:cs="Arial"/>
          <w:color w:val="000000" w:themeColor="text1"/>
        </w:rPr>
        <w:t>DB has been a trusted partner of Georgia in the areas of emergency responses, public sector management reform, social protection and infrastructure development. The proposed program builds on over a decade of close cooperation across key policy reforms areas, such as public sector management, regional cooperation, energy and social protection. Starting in 2014, ADB has been continuously engaged in policy dialogue with the government over fiscal management and social protection reform.</w:t>
      </w:r>
      <w:r w:rsidRPr="0044592D">
        <w:rPr>
          <w:rStyle w:val="FootnoteReference"/>
          <w:color w:val="000000" w:themeColor="text1"/>
        </w:rPr>
        <w:t xml:space="preserve"> </w:t>
      </w:r>
      <w:r>
        <w:rPr>
          <w:rStyle w:val="FootnoteReference"/>
          <w:color w:val="000000" w:themeColor="text1"/>
        </w:rPr>
        <w:footnoteReference w:id="66"/>
      </w:r>
      <w:r>
        <w:rPr>
          <w:rFonts w:cs="Arial"/>
          <w:color w:val="000000" w:themeColor="text1"/>
        </w:rPr>
        <w:t xml:space="preserve"> Under Second Improving Domestic Resource Mobilization Program,</w:t>
      </w:r>
      <w:r>
        <w:rPr>
          <w:rStyle w:val="FootnoteReference"/>
          <w:color w:val="000000" w:themeColor="text1"/>
        </w:rPr>
        <w:footnoteReference w:id="67"/>
      </w:r>
      <w:r>
        <w:rPr>
          <w:rFonts w:cs="Arial"/>
          <w:color w:val="000000" w:themeColor="text1"/>
        </w:rPr>
        <w:t xml:space="preserve"> ADB is actively engaged in strengthening public sector management and fiscal responsibility whilst supporting the government’s efforts to reform its public pension system–the largest social protection program in the country. To this end, ADB is strengthening capacity of key government institutions through a </w:t>
      </w:r>
      <w:r w:rsidRPr="00DE760E">
        <w:rPr>
          <w:rFonts w:cs="Arial"/>
          <w:color w:val="000000" w:themeColor="text1"/>
        </w:rPr>
        <w:t>carefully design capacity building plan under TRTA 52161-002. ADB is also currently processing a Policy Based Loan with a focus on reforms in fiscal management and social protection areas. Furthermore, underpinning the CARES Program, ADB is providing grant  support to procure medical supplies and equipment as well as capacity building for COVID-19 health response,</w:t>
      </w:r>
      <w:r>
        <w:rPr>
          <w:rFonts w:cs="Arial"/>
          <w:color w:val="000000" w:themeColor="text1"/>
        </w:rPr>
        <w:t xml:space="preserve"> </w:t>
      </w:r>
      <w:r w:rsidRPr="00FD1D4F">
        <w:rPr>
          <w:rFonts w:cs="Arial"/>
          <w:color w:val="000000" w:themeColor="text1"/>
        </w:rPr>
        <w:t>funded under KSTA 9950.</w:t>
      </w:r>
      <w:r>
        <w:rPr>
          <w:rStyle w:val="FootnoteReference"/>
          <w:color w:val="000000" w:themeColor="text1"/>
        </w:rPr>
        <w:footnoteReference w:id="68"/>
      </w:r>
      <w:r>
        <w:rPr>
          <w:rFonts w:cs="Arial"/>
          <w:color w:val="000000" w:themeColor="text1"/>
        </w:rPr>
        <w:t xml:space="preserve"> This adds to the strong base of country knowledge on key issues being addressed by the proposed Program. </w:t>
      </w:r>
    </w:p>
    <w:p w14:paraId="6B8ACE16" w14:textId="2E288324" w:rsidR="00680496" w:rsidRPr="00680496" w:rsidRDefault="00680496" w:rsidP="00680496"/>
    <w:p w14:paraId="197CA98A" w14:textId="65375803" w:rsidR="0075518C" w:rsidRPr="001F448B" w:rsidRDefault="0075518C" w:rsidP="00EA2F1B">
      <w:pPr>
        <w:pStyle w:val="ListParagraph"/>
        <w:numPr>
          <w:ilvl w:val="0"/>
          <w:numId w:val="6"/>
        </w:numPr>
        <w:ind w:left="0" w:firstLine="0"/>
        <w:jc w:val="both"/>
        <w:rPr>
          <w:lang w:val="en-PH"/>
        </w:rPr>
      </w:pPr>
      <w:r>
        <w:rPr>
          <w:rFonts w:cs="Arial"/>
          <w:b/>
          <w:bCs/>
        </w:rPr>
        <w:lastRenderedPageBreak/>
        <w:t>Structural Reforms</w:t>
      </w:r>
      <w:r w:rsidRPr="001508B6">
        <w:rPr>
          <w:rFonts w:cs="Arial"/>
        </w:rPr>
        <w:t>.</w:t>
      </w:r>
      <w:r>
        <w:rPr>
          <w:rFonts w:cs="Arial"/>
        </w:rPr>
        <w:t xml:space="preserve"> </w:t>
      </w:r>
      <w:r w:rsidR="00DC4C9A" w:rsidRPr="00DC4C9A">
        <w:rPr>
          <w:rFonts w:cs="Arial"/>
        </w:rPr>
        <w:t>Georgia</w:t>
      </w:r>
      <w:r w:rsidR="000E71A2">
        <w:rPr>
          <w:rFonts w:cs="Arial"/>
        </w:rPr>
        <w:t xml:space="preserve">’s response to COVID-19 follows a two-pronged approach: an initial temporary emergency relief package and continuation of critical structural reforms to ensure adequacy of its social welfare and public health systems within a sustainable macro-fiscal framework. </w:t>
      </w:r>
      <w:r w:rsidR="00FF2D44">
        <w:rPr>
          <w:rFonts w:cs="Arial"/>
        </w:rPr>
        <w:t>As an immediate response to the COVID-19</w:t>
      </w:r>
      <w:r w:rsidR="00DC4C9A" w:rsidRPr="00DC4C9A">
        <w:rPr>
          <w:rFonts w:cs="Arial"/>
        </w:rPr>
        <w:t xml:space="preserve"> crisis, the government established an Inter-Agency Council for Coordination Against the Coronavirus (IACC) under the direction of the Prime Minister in February 2020. The IACC has taken decisive and credible steps to contain the spread of COVID-19 and mitigate the recessionary impact on the economy. The declaration of a national State of Emergency in March 2020 was followed by the publication of an extensive list of containment measures and, soon after, the announcement of a comprehensive response package supporting health sector resilience, affected businesses, and the poor and vulnerable during the crisis.</w:t>
      </w:r>
      <w:r w:rsidR="00DC4C9A">
        <w:rPr>
          <w:rFonts w:cs="Arial"/>
        </w:rPr>
        <w:t xml:space="preserve"> </w:t>
      </w:r>
      <w:r w:rsidR="0067239B">
        <w:rPr>
          <w:rFonts w:cs="Arial"/>
        </w:rPr>
        <w:t>In the medium term, the</w:t>
      </w:r>
      <w:r>
        <w:rPr>
          <w:rFonts w:cs="Arial"/>
        </w:rPr>
        <w:t xml:space="preserve"> </w:t>
      </w:r>
      <w:r w:rsidRPr="7454D1C0">
        <w:rPr>
          <w:rFonts w:cs="Arial"/>
        </w:rPr>
        <w:t>government</w:t>
      </w:r>
      <w:r>
        <w:rPr>
          <w:rFonts w:cs="Arial"/>
        </w:rPr>
        <w:t xml:space="preserve"> is committed to </w:t>
      </w:r>
      <w:r w:rsidR="00DC4C9A">
        <w:rPr>
          <w:rFonts w:cs="Arial"/>
        </w:rPr>
        <w:t xml:space="preserve">pursue a </w:t>
      </w:r>
      <w:r>
        <w:rPr>
          <w:rFonts w:cs="Arial"/>
        </w:rPr>
        <w:t xml:space="preserve">comprehensive </w:t>
      </w:r>
      <w:r w:rsidR="00DC4C9A">
        <w:rPr>
          <w:rFonts w:cs="Arial"/>
        </w:rPr>
        <w:t>fiscal management and social protection</w:t>
      </w:r>
      <w:r>
        <w:rPr>
          <w:rFonts w:cs="Arial"/>
        </w:rPr>
        <w:t xml:space="preserve"> reform program </w:t>
      </w:r>
      <w:r w:rsidR="00DC4C9A">
        <w:rPr>
          <w:rFonts w:cs="Arial"/>
        </w:rPr>
        <w:t>with ADB</w:t>
      </w:r>
      <w:r>
        <w:rPr>
          <w:rFonts w:cs="Arial"/>
        </w:rPr>
        <w:t xml:space="preserve"> </w:t>
      </w:r>
      <w:r w:rsidR="00DC4C9A">
        <w:rPr>
          <w:rFonts w:cs="Arial"/>
        </w:rPr>
        <w:t>to</w:t>
      </w:r>
      <w:r>
        <w:rPr>
          <w:rFonts w:cs="Arial"/>
        </w:rPr>
        <w:t xml:space="preserve"> strengthen </w:t>
      </w:r>
      <w:r w:rsidR="00DC4C9A">
        <w:rPr>
          <w:rFonts w:cs="Arial"/>
        </w:rPr>
        <w:t xml:space="preserve">inclusive </w:t>
      </w:r>
      <w:r>
        <w:rPr>
          <w:rFonts w:cs="Arial"/>
        </w:rPr>
        <w:t xml:space="preserve">economic </w:t>
      </w:r>
      <w:r w:rsidR="00DC4C9A">
        <w:rPr>
          <w:rFonts w:cs="Arial"/>
        </w:rPr>
        <w:t>growth</w:t>
      </w:r>
      <w:r>
        <w:rPr>
          <w:rFonts w:cs="Arial"/>
        </w:rPr>
        <w:t xml:space="preserve"> in the long run within macroprudential limits.</w:t>
      </w:r>
      <w:r w:rsidR="0067239B">
        <w:rPr>
          <w:rFonts w:cs="Arial"/>
        </w:rPr>
        <w:t xml:space="preserve"> This forms part of the government’s recovery</w:t>
      </w:r>
      <w:r w:rsidR="00E23E25">
        <w:rPr>
          <w:rFonts w:cs="Arial"/>
        </w:rPr>
        <w:t xml:space="preserve"> program</w:t>
      </w:r>
      <w:r w:rsidR="005C7ED9">
        <w:rPr>
          <w:rFonts w:cs="Arial"/>
        </w:rPr>
        <w:t>.</w:t>
      </w:r>
      <w:r w:rsidR="00E23E25">
        <w:rPr>
          <w:rFonts w:cs="Arial"/>
        </w:rPr>
        <w:t xml:space="preserve"> In addition to these reforms</w:t>
      </w:r>
      <w:r w:rsidR="001257B7">
        <w:rPr>
          <w:rFonts w:cs="Arial"/>
        </w:rPr>
        <w:t>,</w:t>
      </w:r>
      <w:r w:rsidR="00527887">
        <w:rPr>
          <w:rFonts w:cs="Arial"/>
        </w:rPr>
        <w:t xml:space="preserve"> government remains committed to structural policy</w:t>
      </w:r>
      <w:r>
        <w:rPr>
          <w:rFonts w:cs="Arial"/>
        </w:rPr>
        <w:t xml:space="preserve"> reform </w:t>
      </w:r>
      <w:r w:rsidR="00527887">
        <w:rPr>
          <w:rFonts w:cs="Arial"/>
        </w:rPr>
        <w:t xml:space="preserve">to public sector management, to ensure </w:t>
      </w:r>
      <w:r w:rsidR="00C70B04">
        <w:rPr>
          <w:rFonts w:cs="Arial"/>
        </w:rPr>
        <w:t>fiscal sustainability of government operations in the medium term</w:t>
      </w:r>
      <w:r w:rsidR="004B176E">
        <w:rPr>
          <w:rFonts w:cs="Arial"/>
        </w:rPr>
        <w:t xml:space="preserve">; capital market reforms to support de-dollarization of the financial sector and reduce external vulnerabilities; </w:t>
      </w:r>
      <w:r w:rsidR="00DC4C9A">
        <w:rPr>
          <w:rFonts w:cs="Arial"/>
        </w:rPr>
        <w:t xml:space="preserve">reforms to the </w:t>
      </w:r>
      <w:r>
        <w:rPr>
          <w:rFonts w:cs="Arial"/>
        </w:rPr>
        <w:t xml:space="preserve">education system to improve job </w:t>
      </w:r>
      <w:r w:rsidR="00C07130">
        <w:rPr>
          <w:rFonts w:cs="Arial"/>
        </w:rPr>
        <w:t>matching</w:t>
      </w:r>
      <w:r>
        <w:rPr>
          <w:rFonts w:cs="Arial"/>
        </w:rPr>
        <w:t>, productivity, and wages; operationalization of pension reforms</w:t>
      </w:r>
      <w:r w:rsidRPr="7454D1C0">
        <w:rPr>
          <w:rFonts w:cs="Arial"/>
        </w:rPr>
        <w:t>;</w:t>
      </w:r>
      <w:r>
        <w:rPr>
          <w:rStyle w:val="FootnoteReference"/>
        </w:rPr>
        <w:footnoteReference w:id="69"/>
      </w:r>
      <w:r w:rsidR="009934E7">
        <w:rPr>
          <w:rFonts w:cs="Arial"/>
        </w:rPr>
        <w:t>c</w:t>
      </w:r>
      <w:r>
        <w:rPr>
          <w:rFonts w:cs="Arial"/>
        </w:rPr>
        <w:t xml:space="preserve">ontinuation of business environment reforms, for example requiring corporations to publish audited financial statements based on </w:t>
      </w:r>
      <w:r w:rsidRPr="7454D1C0">
        <w:rPr>
          <w:rFonts w:cs="Arial"/>
        </w:rPr>
        <w:t>International Financial Reporting Standards (IFRS)</w:t>
      </w:r>
      <w:r>
        <w:rPr>
          <w:rFonts w:cs="Arial"/>
        </w:rPr>
        <w:t xml:space="preserve">; developing land cadasters to help protect property rights and simplify land transactions; and reforms to benefit from Georgia’s </w:t>
      </w:r>
      <w:r w:rsidRPr="7454D1C0">
        <w:rPr>
          <w:rFonts w:cs="Arial"/>
        </w:rPr>
        <w:t>free trade agreements (FTAs)</w:t>
      </w:r>
      <w:r>
        <w:rPr>
          <w:rFonts w:cs="Arial"/>
        </w:rPr>
        <w:t>.</w:t>
      </w:r>
      <w:r>
        <w:rPr>
          <w:rStyle w:val="FootnoteReference"/>
        </w:rPr>
        <w:footnoteReference w:id="70"/>
      </w:r>
      <w:r>
        <w:rPr>
          <w:rFonts w:cs="Arial"/>
        </w:rPr>
        <w:t xml:space="preserve"> Finally, of critical importance for macroeconomic management</w:t>
      </w:r>
      <w:r w:rsidRPr="10E54777">
        <w:rPr>
          <w:rFonts w:cs="Arial"/>
        </w:rPr>
        <w:t xml:space="preserve"> and evidence-based policy making</w:t>
      </w:r>
      <w:r>
        <w:rPr>
          <w:rFonts w:cs="Arial"/>
        </w:rPr>
        <w:t xml:space="preserve">, the </w:t>
      </w:r>
      <w:r w:rsidRPr="7454D1C0">
        <w:rPr>
          <w:rFonts w:cs="Arial"/>
        </w:rPr>
        <w:t>government</w:t>
      </w:r>
      <w:r>
        <w:rPr>
          <w:rFonts w:cs="Arial"/>
        </w:rPr>
        <w:t xml:space="preserve"> has begun modernizing the national account statistics.</w:t>
      </w:r>
      <w:r>
        <w:rPr>
          <w:rStyle w:val="FootnoteReference"/>
        </w:rPr>
        <w:footnoteReference w:id="71"/>
      </w:r>
      <w:r>
        <w:rPr>
          <w:rFonts w:cs="Arial"/>
        </w:rPr>
        <w:t xml:space="preserve">  </w:t>
      </w:r>
    </w:p>
    <w:p w14:paraId="7656F58C" w14:textId="77777777" w:rsidR="00680496" w:rsidRPr="00680496" w:rsidRDefault="00680496" w:rsidP="00680496"/>
    <w:p w14:paraId="720ABEF6" w14:textId="2CB034BF" w:rsidR="004B04E0" w:rsidRPr="001F448B" w:rsidRDefault="0075518C" w:rsidP="00EA2F1B">
      <w:pPr>
        <w:pStyle w:val="ListParagraph"/>
        <w:numPr>
          <w:ilvl w:val="0"/>
          <w:numId w:val="6"/>
        </w:numPr>
        <w:ind w:left="0" w:firstLine="0"/>
        <w:jc w:val="both"/>
        <w:rPr>
          <w:lang w:val="en-PH"/>
        </w:rPr>
      </w:pPr>
      <w:r w:rsidRPr="0075518C">
        <w:rPr>
          <w:rFonts w:cs="Arial"/>
          <w:b/>
          <w:bCs/>
          <w:color w:val="000000" w:themeColor="text1"/>
        </w:rPr>
        <w:t xml:space="preserve">Alignment with Strategy 2030. </w:t>
      </w:r>
      <w:r w:rsidR="00823693" w:rsidRPr="00823693">
        <w:rPr>
          <w:rFonts w:cs="Arial"/>
          <w:color w:val="000000" w:themeColor="text1"/>
        </w:rPr>
        <w:t xml:space="preserve">The Program is fully aligned with ADB’s Strategy 2030, specifically </w:t>
      </w:r>
      <w:r w:rsidR="00823693">
        <w:rPr>
          <w:rFonts w:cs="Arial"/>
          <w:color w:val="000000" w:themeColor="text1"/>
        </w:rPr>
        <w:t xml:space="preserve">the </w:t>
      </w:r>
      <w:r w:rsidR="00823693" w:rsidRPr="00823693">
        <w:rPr>
          <w:rFonts w:cs="Arial"/>
          <w:color w:val="000000" w:themeColor="text1"/>
        </w:rPr>
        <w:t xml:space="preserve">operational priorities </w:t>
      </w:r>
      <w:r w:rsidR="00823693">
        <w:rPr>
          <w:rFonts w:cs="Arial"/>
          <w:color w:val="000000" w:themeColor="text1"/>
        </w:rPr>
        <w:t>on addressing poverty and reducing inequality (through its support for social programs which will mitigate the expected increase in poverty incidence)</w:t>
      </w:r>
      <w:r w:rsidR="00BB4FCD">
        <w:rPr>
          <w:rFonts w:cs="Arial"/>
          <w:color w:val="000000" w:themeColor="text1"/>
        </w:rPr>
        <w:t>,</w:t>
      </w:r>
      <w:r w:rsidR="00823693">
        <w:rPr>
          <w:rFonts w:cs="Arial"/>
          <w:color w:val="000000" w:themeColor="text1"/>
        </w:rPr>
        <w:t xml:space="preserve"> </w:t>
      </w:r>
      <w:r w:rsidR="00BB4FCD">
        <w:rPr>
          <w:rFonts w:cs="Arial"/>
          <w:color w:val="000000" w:themeColor="text1"/>
        </w:rPr>
        <w:t>a</w:t>
      </w:r>
      <w:r w:rsidR="00823693">
        <w:rPr>
          <w:rFonts w:cs="Arial"/>
          <w:color w:val="000000" w:themeColor="text1"/>
        </w:rPr>
        <w:t>ccelerating progress in gender equality (</w:t>
      </w:r>
      <w:r w:rsidR="001E00C3">
        <w:rPr>
          <w:rFonts w:cs="Arial"/>
          <w:color w:val="000000" w:themeColor="text1"/>
        </w:rPr>
        <w:t>through its gender sensitive targets</w:t>
      </w:r>
      <w:r w:rsidR="00BB4FCD">
        <w:rPr>
          <w:rFonts w:cs="Arial"/>
          <w:color w:val="000000" w:themeColor="text1"/>
        </w:rPr>
        <w:t xml:space="preserve">), and strengthening governance and institutional capacity (through support for strengthening the public health sector and social welfare system). </w:t>
      </w:r>
      <w:r w:rsidR="00823693">
        <w:rPr>
          <w:rFonts w:cs="Arial"/>
          <w:color w:val="000000" w:themeColor="text1"/>
        </w:rPr>
        <w:t xml:space="preserve"> </w:t>
      </w:r>
    </w:p>
    <w:p w14:paraId="254B9FED" w14:textId="77777777" w:rsidR="0075518C" w:rsidRPr="0075518C" w:rsidRDefault="0075518C" w:rsidP="006218E6">
      <w:pPr>
        <w:rPr>
          <w:lang w:eastAsia="zh-CN"/>
        </w:rPr>
      </w:pPr>
    </w:p>
    <w:p w14:paraId="58D6DC44" w14:textId="474FCAE4" w:rsidR="0078051B" w:rsidRDefault="009D384D" w:rsidP="006218E6">
      <w:pPr>
        <w:pStyle w:val="Heading2"/>
        <w:ind w:left="0" w:firstLine="0"/>
        <w:rPr>
          <w:lang w:eastAsia="zh-CN"/>
        </w:rPr>
      </w:pPr>
      <w:bookmarkStart w:id="15" w:name="_Toc39790009"/>
      <w:r>
        <w:rPr>
          <w:lang w:eastAsia="zh-CN"/>
        </w:rPr>
        <w:t xml:space="preserve">Development Financing Needs, </w:t>
      </w:r>
      <w:r w:rsidR="00197CE6">
        <w:rPr>
          <w:lang w:eastAsia="zh-CN"/>
        </w:rPr>
        <w:t>Development Partner Coordination</w:t>
      </w:r>
      <w:r>
        <w:rPr>
          <w:lang w:eastAsia="zh-CN"/>
        </w:rPr>
        <w:t xml:space="preserve"> and Debt Sustainability</w:t>
      </w:r>
      <w:bookmarkEnd w:id="15"/>
    </w:p>
    <w:p w14:paraId="480CF880" w14:textId="77777777" w:rsidR="0078051B" w:rsidRPr="0078051B" w:rsidRDefault="0078051B" w:rsidP="006218E6"/>
    <w:p w14:paraId="078354EF" w14:textId="2E5E6AB9" w:rsidR="008606E6" w:rsidRPr="00A44E0B" w:rsidRDefault="00BF6C73" w:rsidP="00A44E0B">
      <w:pPr>
        <w:pStyle w:val="ListParagraph"/>
        <w:numPr>
          <w:ilvl w:val="0"/>
          <w:numId w:val="6"/>
        </w:numPr>
        <w:ind w:left="0" w:firstLine="0"/>
        <w:jc w:val="both"/>
        <w:rPr>
          <w:lang w:val="en-PH"/>
        </w:rPr>
      </w:pPr>
      <w:r w:rsidRPr="0081738A">
        <w:rPr>
          <w:rFonts w:eastAsiaTheme="minorEastAsia"/>
          <w:b/>
        </w:rPr>
        <w:t xml:space="preserve">Development </w:t>
      </w:r>
      <w:r>
        <w:rPr>
          <w:rFonts w:eastAsiaTheme="minorEastAsia"/>
          <w:b/>
        </w:rPr>
        <w:t>f</w:t>
      </w:r>
      <w:r w:rsidRPr="0081738A">
        <w:rPr>
          <w:rFonts w:eastAsiaTheme="minorEastAsia"/>
          <w:b/>
        </w:rPr>
        <w:t xml:space="preserve">inancing </w:t>
      </w:r>
      <w:r>
        <w:rPr>
          <w:rFonts w:eastAsiaTheme="minorEastAsia"/>
          <w:b/>
        </w:rPr>
        <w:t>n</w:t>
      </w:r>
      <w:r w:rsidRPr="0081738A">
        <w:rPr>
          <w:rFonts w:eastAsiaTheme="minorEastAsia"/>
          <w:b/>
        </w:rPr>
        <w:t>eeds for 2020</w:t>
      </w:r>
      <w:r w:rsidRPr="0081738A">
        <w:rPr>
          <w:rFonts w:eastAsiaTheme="minorEastAsia"/>
          <w:bCs/>
        </w:rPr>
        <w:t>. Overall, according to the latest estimates by MOF</w:t>
      </w:r>
      <w:r>
        <w:rPr>
          <w:rFonts w:eastAsiaTheme="minorEastAsia"/>
          <w:bCs/>
        </w:rPr>
        <w:t xml:space="preserve"> and </w:t>
      </w:r>
      <w:r w:rsidRPr="0081738A">
        <w:rPr>
          <w:rFonts w:eastAsiaTheme="minorEastAsia"/>
          <w:bCs/>
        </w:rPr>
        <w:t xml:space="preserve">IMF, the </w:t>
      </w:r>
      <w:r>
        <w:rPr>
          <w:rFonts w:eastAsiaTheme="minorEastAsia"/>
          <w:bCs/>
        </w:rPr>
        <w:t>fiscal</w:t>
      </w:r>
      <w:r w:rsidRPr="0081738A">
        <w:rPr>
          <w:rFonts w:eastAsiaTheme="minorEastAsia"/>
          <w:bCs/>
        </w:rPr>
        <w:t xml:space="preserve"> financing gap is expected to reach $1.</w:t>
      </w:r>
      <w:r w:rsidR="00EE4303">
        <w:rPr>
          <w:rFonts w:eastAsiaTheme="minorEastAsia"/>
          <w:bCs/>
        </w:rPr>
        <w:t>533</w:t>
      </w:r>
      <w:r w:rsidRPr="0081738A">
        <w:rPr>
          <w:rFonts w:eastAsiaTheme="minorEastAsia"/>
          <w:bCs/>
        </w:rPr>
        <w:t xml:space="preserve"> billion in 2020</w:t>
      </w:r>
      <w:r w:rsidR="003C7EB7">
        <w:rPr>
          <w:rFonts w:eastAsiaTheme="minorEastAsia"/>
          <w:bCs/>
        </w:rPr>
        <w:t xml:space="preserve">, </w:t>
      </w:r>
      <w:r w:rsidR="00A05600">
        <w:rPr>
          <w:rFonts w:eastAsiaTheme="minorEastAsia"/>
          <w:bCs/>
        </w:rPr>
        <w:t xml:space="preserve">$1.272 </w:t>
      </w:r>
      <w:r w:rsidR="00CD5D2A">
        <w:rPr>
          <w:rFonts w:eastAsiaTheme="minorEastAsia"/>
          <w:bCs/>
        </w:rPr>
        <w:t>billion</w:t>
      </w:r>
      <w:r w:rsidR="00A05600">
        <w:rPr>
          <w:rFonts w:eastAsiaTheme="minorEastAsia"/>
          <w:bCs/>
        </w:rPr>
        <w:t xml:space="preserve"> more than the </w:t>
      </w:r>
      <w:r w:rsidR="003C7EB7">
        <w:rPr>
          <w:rFonts w:eastAsiaTheme="minorEastAsia"/>
          <w:bCs/>
        </w:rPr>
        <w:t xml:space="preserve">original estimate of </w:t>
      </w:r>
      <w:r w:rsidR="00B9033F">
        <w:rPr>
          <w:rFonts w:eastAsiaTheme="minorEastAsia"/>
          <w:bCs/>
        </w:rPr>
        <w:t>$261 million before COVID-19</w:t>
      </w:r>
      <w:r w:rsidR="00792952">
        <w:rPr>
          <w:rFonts w:eastAsiaTheme="minorEastAsia"/>
          <w:bCs/>
        </w:rPr>
        <w:t>.</w:t>
      </w:r>
      <w:r w:rsidR="00596840">
        <w:rPr>
          <w:rFonts w:eastAsiaTheme="minorEastAsia"/>
          <w:bCs/>
        </w:rPr>
        <w:t xml:space="preserve"> This sharp increase in gross financing requirements </w:t>
      </w:r>
      <w:r w:rsidR="00783B1C">
        <w:rPr>
          <w:rFonts w:eastAsiaTheme="minorEastAsia"/>
          <w:bCs/>
        </w:rPr>
        <w:t xml:space="preserve">is led by </w:t>
      </w:r>
      <w:r w:rsidR="00A05600">
        <w:rPr>
          <w:rFonts w:eastAsiaTheme="minorEastAsia"/>
          <w:bCs/>
        </w:rPr>
        <w:t xml:space="preserve">an </w:t>
      </w:r>
      <w:r w:rsidR="00783B1C">
        <w:rPr>
          <w:rFonts w:eastAsiaTheme="minorEastAsia"/>
          <w:bCs/>
        </w:rPr>
        <w:t>increase in expenditure</w:t>
      </w:r>
      <w:r w:rsidR="00A05600">
        <w:rPr>
          <w:rStyle w:val="FootnoteReference"/>
          <w:rFonts w:eastAsiaTheme="minorEastAsia"/>
          <w:bCs/>
        </w:rPr>
        <w:footnoteReference w:id="72"/>
      </w:r>
      <w:r w:rsidR="00783B1C">
        <w:rPr>
          <w:rFonts w:eastAsiaTheme="minorEastAsia"/>
          <w:bCs/>
        </w:rPr>
        <w:t xml:space="preserve"> </w:t>
      </w:r>
      <w:r w:rsidR="00F22810">
        <w:rPr>
          <w:rFonts w:eastAsiaTheme="minorEastAsia"/>
          <w:bCs/>
        </w:rPr>
        <w:t xml:space="preserve">as well as a fall in </w:t>
      </w:r>
      <w:r w:rsidR="004E6B38">
        <w:rPr>
          <w:rFonts w:eastAsiaTheme="minorEastAsia"/>
          <w:bCs/>
        </w:rPr>
        <w:t>tax</w:t>
      </w:r>
      <w:r w:rsidR="00F22810">
        <w:rPr>
          <w:rFonts w:eastAsiaTheme="minorEastAsia"/>
          <w:bCs/>
        </w:rPr>
        <w:t xml:space="preserve"> revenues</w:t>
      </w:r>
      <w:r w:rsidR="004E6B38">
        <w:rPr>
          <w:rFonts w:eastAsiaTheme="minorEastAsia"/>
          <w:bCs/>
        </w:rPr>
        <w:t xml:space="preserve"> from 23% to 21.4% of GDP.</w:t>
      </w:r>
      <w:r w:rsidR="00596840">
        <w:rPr>
          <w:rFonts w:eastAsiaTheme="minorEastAsia"/>
          <w:bCs/>
        </w:rPr>
        <w:t xml:space="preserve"> </w:t>
      </w:r>
      <w:r w:rsidR="00792952">
        <w:rPr>
          <w:rFonts w:eastAsiaTheme="minorEastAsia"/>
          <w:bCs/>
        </w:rPr>
        <w:t xml:space="preserve"> The proposed </w:t>
      </w:r>
      <w:r w:rsidR="003642DD">
        <w:rPr>
          <w:rFonts w:eastAsiaTheme="minorEastAsia"/>
          <w:bCs/>
        </w:rPr>
        <w:t xml:space="preserve">CARES </w:t>
      </w:r>
      <w:r w:rsidR="00792952">
        <w:rPr>
          <w:rFonts w:eastAsiaTheme="minorEastAsia"/>
          <w:bCs/>
        </w:rPr>
        <w:t xml:space="preserve">program </w:t>
      </w:r>
      <w:r w:rsidR="005C4AF6">
        <w:rPr>
          <w:rFonts w:eastAsiaTheme="minorEastAsia"/>
          <w:bCs/>
        </w:rPr>
        <w:t>provides for about</w:t>
      </w:r>
      <w:r w:rsidR="00F964D0">
        <w:rPr>
          <w:rFonts w:eastAsiaTheme="minorEastAsia"/>
          <w:bCs/>
        </w:rPr>
        <w:t xml:space="preserve"> </w:t>
      </w:r>
      <w:r w:rsidR="008F7114">
        <w:rPr>
          <w:rFonts w:eastAsiaTheme="minorEastAsia"/>
          <w:bCs/>
        </w:rPr>
        <w:t>6.5</w:t>
      </w:r>
      <w:r w:rsidR="00221F82">
        <w:rPr>
          <w:rFonts w:eastAsiaTheme="minorEastAsia"/>
          <w:bCs/>
        </w:rPr>
        <w:t xml:space="preserve">% </w:t>
      </w:r>
      <w:r w:rsidR="00792952">
        <w:rPr>
          <w:rFonts w:eastAsiaTheme="minorEastAsia"/>
          <w:bCs/>
        </w:rPr>
        <w:t>of gross financing requirements for 2020</w:t>
      </w:r>
      <w:r w:rsidRPr="0081738A">
        <w:rPr>
          <w:rFonts w:eastAsiaTheme="minorEastAsia"/>
          <w:bCs/>
        </w:rPr>
        <w:t xml:space="preserve">. The </w:t>
      </w:r>
      <w:r w:rsidR="00944EDB">
        <w:rPr>
          <w:rFonts w:eastAsiaTheme="minorEastAsia"/>
          <w:bCs/>
        </w:rPr>
        <w:t>remaining</w:t>
      </w:r>
      <w:r w:rsidRPr="0081738A">
        <w:rPr>
          <w:rFonts w:eastAsiaTheme="minorEastAsia"/>
          <w:bCs/>
        </w:rPr>
        <w:t xml:space="preserve"> gap will be addressed by loans and </w:t>
      </w:r>
      <w:r>
        <w:rPr>
          <w:rFonts w:eastAsiaTheme="minorEastAsia"/>
          <w:bCs/>
        </w:rPr>
        <w:t xml:space="preserve">grants from development partners </w:t>
      </w:r>
      <w:r w:rsidR="00451EB2">
        <w:rPr>
          <w:rFonts w:eastAsiaTheme="minorEastAsia"/>
          <w:bCs/>
        </w:rPr>
        <w:t>as well as</w:t>
      </w:r>
      <w:r>
        <w:rPr>
          <w:rFonts w:eastAsiaTheme="minorEastAsia"/>
          <w:bCs/>
        </w:rPr>
        <w:t xml:space="preserve"> </w:t>
      </w:r>
      <w:r w:rsidRPr="0081738A">
        <w:rPr>
          <w:rFonts w:eastAsiaTheme="minorEastAsia"/>
          <w:bCs/>
        </w:rPr>
        <w:t>domestic borrowing, with government deposits available to weather against downside risks</w:t>
      </w:r>
      <w:r>
        <w:rPr>
          <w:rFonts w:eastAsiaTheme="minorEastAsia"/>
          <w:bCs/>
        </w:rPr>
        <w:t>,</w:t>
      </w:r>
      <w:r w:rsidRPr="0081738A">
        <w:rPr>
          <w:rFonts w:eastAsiaTheme="minorEastAsia"/>
          <w:bCs/>
        </w:rPr>
        <w:t xml:space="preserve"> if necessary. </w:t>
      </w:r>
      <w:r w:rsidR="00362591">
        <w:rPr>
          <w:rFonts w:eastAsiaTheme="minorEastAsia"/>
          <w:bCs/>
        </w:rPr>
        <w:t>The</w:t>
      </w:r>
      <w:r w:rsidRPr="0081738A">
        <w:rPr>
          <w:rFonts w:eastAsiaTheme="minorEastAsia"/>
          <w:bCs/>
        </w:rPr>
        <w:t xml:space="preserve"> IMF, World Bank</w:t>
      </w:r>
      <w:r w:rsidR="000A5884">
        <w:rPr>
          <w:rFonts w:eastAsiaTheme="minorEastAsia"/>
          <w:bCs/>
        </w:rPr>
        <w:t>, AIIB</w:t>
      </w:r>
      <w:r w:rsidRPr="0081738A">
        <w:rPr>
          <w:rFonts w:eastAsiaTheme="minorEastAsia"/>
          <w:bCs/>
        </w:rPr>
        <w:t xml:space="preserve"> and selected bilateral partners have already committed to assist Georgia in accessing finance from their respective </w:t>
      </w:r>
      <w:r w:rsidRPr="0081738A">
        <w:rPr>
          <w:rFonts w:eastAsiaTheme="minorEastAsia"/>
          <w:bCs/>
        </w:rPr>
        <w:lastRenderedPageBreak/>
        <w:t>emergency response funds</w:t>
      </w:r>
      <w:r w:rsidR="008720D5">
        <w:rPr>
          <w:rFonts w:eastAsiaTheme="minorEastAsia"/>
          <w:bCs/>
        </w:rPr>
        <w:t xml:space="preserve"> (Table 3)</w:t>
      </w:r>
      <w:r w:rsidRPr="0081738A">
        <w:rPr>
          <w:rFonts w:eastAsiaTheme="minorEastAsia"/>
          <w:bCs/>
        </w:rPr>
        <w:t xml:space="preserve">. </w:t>
      </w:r>
      <w:r w:rsidR="00AB74ED">
        <w:rPr>
          <w:rFonts w:eastAsiaTheme="minorEastAsia"/>
          <w:bCs/>
        </w:rPr>
        <w:t xml:space="preserve">Total ADB budget support in 2020 will amount to $630 million, or </w:t>
      </w:r>
      <w:r w:rsidR="00A56398">
        <w:rPr>
          <w:rFonts w:eastAsiaTheme="minorEastAsia"/>
          <w:bCs/>
        </w:rPr>
        <w:t xml:space="preserve">41% of gross financing requirements. </w:t>
      </w:r>
      <w:r w:rsidR="003B1AAE" w:rsidRPr="0081738A">
        <w:rPr>
          <w:rFonts w:eastAsiaTheme="minorEastAsia"/>
          <w:bCs/>
        </w:rPr>
        <w:t>This support will help finance Georgia’s countercyclical economic response efforts.</w:t>
      </w:r>
      <w:r w:rsidR="003B1AAE">
        <w:rPr>
          <w:rFonts w:eastAsiaTheme="minorEastAsia"/>
          <w:bCs/>
        </w:rPr>
        <w:t xml:space="preserve"> </w:t>
      </w:r>
      <w:r w:rsidRPr="0081738A">
        <w:rPr>
          <w:rFonts w:eastAsiaTheme="minorEastAsia"/>
          <w:bCs/>
        </w:rPr>
        <w:t>Given the rise in the yield spread</w:t>
      </w:r>
      <w:r>
        <w:rPr>
          <w:rFonts w:eastAsiaTheme="minorEastAsia"/>
          <w:bCs/>
        </w:rPr>
        <w:t>s to US Treasury bonds</w:t>
      </w:r>
      <w:r w:rsidRPr="0081738A">
        <w:rPr>
          <w:rFonts w:eastAsiaTheme="minorEastAsia"/>
          <w:bCs/>
        </w:rPr>
        <w:t xml:space="preserve"> in international markets, Georgia aims to reduce its reliance on international capital markets to the extent possible.</w:t>
      </w:r>
      <w:r w:rsidR="00F8200F">
        <w:rPr>
          <w:rFonts w:eastAsiaTheme="minorEastAsia"/>
          <w:bCs/>
        </w:rPr>
        <w:t xml:space="preserve"> It </w:t>
      </w:r>
      <w:r w:rsidR="00AE1061">
        <w:rPr>
          <w:rFonts w:eastAsiaTheme="minorEastAsia"/>
          <w:bCs/>
        </w:rPr>
        <w:t xml:space="preserve">will also avoid drawing on its international gross reserves, which it has accumulated over recent years and amount to </w:t>
      </w:r>
      <w:r w:rsidR="009C2DD2">
        <w:rPr>
          <w:rFonts w:eastAsiaTheme="minorEastAsia"/>
          <w:bCs/>
        </w:rPr>
        <w:t>$</w:t>
      </w:r>
      <w:r w:rsidR="00AE1061">
        <w:rPr>
          <w:rFonts w:eastAsiaTheme="minorEastAsia"/>
          <w:bCs/>
        </w:rPr>
        <w:t>3.5</w:t>
      </w:r>
      <w:r w:rsidR="009C2DD2">
        <w:rPr>
          <w:rFonts w:eastAsiaTheme="minorEastAsia"/>
          <w:bCs/>
        </w:rPr>
        <w:t xml:space="preserve"> billion. </w:t>
      </w:r>
    </w:p>
    <w:p w14:paraId="70B825FE" w14:textId="77777777" w:rsidR="002A2B0C" w:rsidRDefault="002A2B0C" w:rsidP="006218E6">
      <w:pPr>
        <w:pStyle w:val="TOC3"/>
        <w:numPr>
          <w:ilvl w:val="0"/>
          <w:numId w:val="0"/>
        </w:numPr>
        <w:spacing w:before="0" w:after="0"/>
        <w:ind w:left="360" w:hanging="360"/>
        <w:jc w:val="center"/>
        <w:rPr>
          <w:b/>
          <w:bCs/>
        </w:rPr>
      </w:pPr>
    </w:p>
    <w:p w14:paraId="252FE9C2" w14:textId="6C3004C2" w:rsidR="00EA3AAA" w:rsidRPr="001E6B7A" w:rsidRDefault="00EA3AAA" w:rsidP="001E6B7A">
      <w:pPr>
        <w:pStyle w:val="TOC3"/>
        <w:numPr>
          <w:ilvl w:val="0"/>
          <w:numId w:val="0"/>
        </w:numPr>
        <w:spacing w:before="0" w:after="0"/>
        <w:ind w:left="360" w:hanging="360"/>
        <w:jc w:val="center"/>
        <w:rPr>
          <w:b/>
          <w:bCs/>
        </w:rPr>
      </w:pPr>
      <w:r w:rsidRPr="001C4446">
        <w:rPr>
          <w:b/>
        </w:rPr>
        <w:t xml:space="preserve">Table </w:t>
      </w:r>
      <w:r w:rsidRPr="001C4446">
        <w:rPr>
          <w:b/>
        </w:rPr>
        <w:fldChar w:fldCharType="begin"/>
      </w:r>
      <w:r w:rsidRPr="001C4446">
        <w:rPr>
          <w:b/>
        </w:rPr>
        <w:instrText>SEQ Table \* ARABIC</w:instrText>
      </w:r>
      <w:r w:rsidRPr="001C4446">
        <w:rPr>
          <w:b/>
        </w:rPr>
        <w:fldChar w:fldCharType="separate"/>
      </w:r>
      <w:r w:rsidRPr="001C4446">
        <w:rPr>
          <w:b/>
        </w:rPr>
        <w:t>3</w:t>
      </w:r>
      <w:r w:rsidRPr="001C4446">
        <w:rPr>
          <w:b/>
        </w:rPr>
        <w:fldChar w:fldCharType="end"/>
      </w:r>
      <w:r w:rsidRPr="001C4446">
        <w:rPr>
          <w:b/>
        </w:rPr>
        <w:t xml:space="preserve">: </w:t>
      </w:r>
      <w:r w:rsidR="008D0B93">
        <w:rPr>
          <w:b/>
        </w:rPr>
        <w:t>Total Tentative Budget Support</w:t>
      </w:r>
      <w:r w:rsidRPr="001C4446">
        <w:rPr>
          <w:b/>
        </w:rPr>
        <w:t xml:space="preserve"> by Development Partners 2020 </w:t>
      </w:r>
    </w:p>
    <w:tbl>
      <w:tblPr>
        <w:tblStyle w:val="TableGrid"/>
        <w:tblW w:w="9445" w:type="dxa"/>
        <w:jc w:val="center"/>
        <w:tblLook w:val="04A0" w:firstRow="1" w:lastRow="0" w:firstColumn="1" w:lastColumn="0" w:noHBand="0" w:noVBand="1"/>
      </w:tblPr>
      <w:tblGrid>
        <w:gridCol w:w="4590"/>
        <w:gridCol w:w="2340"/>
        <w:gridCol w:w="2515"/>
      </w:tblGrid>
      <w:tr w:rsidR="00EA3AAA" w14:paraId="66971A20" w14:textId="77777777" w:rsidTr="0067539F">
        <w:trPr>
          <w:trHeight w:val="206"/>
          <w:tblHeader/>
          <w:jc w:val="center"/>
        </w:trPr>
        <w:tc>
          <w:tcPr>
            <w:tcW w:w="4590" w:type="dxa"/>
            <w:tcBorders>
              <w:left w:val="nil"/>
              <w:bottom w:val="single" w:sz="4" w:space="0" w:color="auto"/>
              <w:right w:val="nil"/>
            </w:tcBorders>
          </w:tcPr>
          <w:p w14:paraId="3A277F8F" w14:textId="77777777" w:rsidR="00EA3AAA" w:rsidRPr="00961FC7" w:rsidRDefault="00EA3AAA" w:rsidP="00F97684">
            <w:pPr>
              <w:rPr>
                <w:b/>
                <w:sz w:val="18"/>
                <w:szCs w:val="18"/>
              </w:rPr>
            </w:pPr>
            <w:r w:rsidRPr="00961FC7">
              <w:rPr>
                <w:b/>
                <w:sz w:val="18"/>
                <w:szCs w:val="18"/>
              </w:rPr>
              <w:t>Item</w:t>
            </w:r>
          </w:p>
        </w:tc>
        <w:tc>
          <w:tcPr>
            <w:tcW w:w="2340" w:type="dxa"/>
            <w:tcBorders>
              <w:left w:val="nil"/>
              <w:bottom w:val="single" w:sz="4" w:space="0" w:color="auto"/>
              <w:right w:val="nil"/>
            </w:tcBorders>
          </w:tcPr>
          <w:p w14:paraId="549C67CA" w14:textId="77777777" w:rsidR="00E42F1B" w:rsidRPr="00961FC7" w:rsidRDefault="00EA3AAA" w:rsidP="00F97684">
            <w:pPr>
              <w:jc w:val="center"/>
              <w:rPr>
                <w:b/>
                <w:sz w:val="18"/>
                <w:szCs w:val="18"/>
              </w:rPr>
            </w:pPr>
            <w:r w:rsidRPr="00961FC7">
              <w:rPr>
                <w:b/>
                <w:sz w:val="18"/>
                <w:szCs w:val="18"/>
              </w:rPr>
              <w:t xml:space="preserve">Tentative contribution </w:t>
            </w:r>
          </w:p>
          <w:p w14:paraId="185560C0" w14:textId="275DCD5E" w:rsidR="00EA3AAA" w:rsidRPr="00961FC7" w:rsidRDefault="00EA3AAA" w:rsidP="00F97684">
            <w:pPr>
              <w:jc w:val="center"/>
              <w:rPr>
                <w:b/>
                <w:sz w:val="18"/>
                <w:szCs w:val="18"/>
              </w:rPr>
            </w:pPr>
            <w:r w:rsidRPr="00961FC7">
              <w:rPr>
                <w:sz w:val="18"/>
                <w:szCs w:val="18"/>
              </w:rPr>
              <w:t>(USD millions)</w:t>
            </w:r>
          </w:p>
        </w:tc>
        <w:tc>
          <w:tcPr>
            <w:tcW w:w="2515" w:type="dxa"/>
            <w:tcBorders>
              <w:left w:val="nil"/>
              <w:bottom w:val="single" w:sz="4" w:space="0" w:color="auto"/>
              <w:right w:val="nil"/>
            </w:tcBorders>
          </w:tcPr>
          <w:p w14:paraId="1E6D6A63" w14:textId="77777777" w:rsidR="00EA3AAA" w:rsidRPr="00961FC7" w:rsidRDefault="00EA3AAA" w:rsidP="00F97684">
            <w:pPr>
              <w:jc w:val="center"/>
              <w:rPr>
                <w:b/>
                <w:sz w:val="18"/>
                <w:szCs w:val="18"/>
              </w:rPr>
            </w:pPr>
            <w:r w:rsidRPr="00961FC7">
              <w:rPr>
                <w:b/>
                <w:sz w:val="18"/>
                <w:szCs w:val="18"/>
              </w:rPr>
              <w:t>Remarks</w:t>
            </w:r>
          </w:p>
        </w:tc>
      </w:tr>
      <w:tr w:rsidR="00EA3AAA" w14:paraId="79040146" w14:textId="77777777" w:rsidTr="0067539F">
        <w:trPr>
          <w:trHeight w:val="124"/>
          <w:jc w:val="center"/>
        </w:trPr>
        <w:tc>
          <w:tcPr>
            <w:tcW w:w="4590" w:type="dxa"/>
            <w:tcBorders>
              <w:left w:val="nil"/>
              <w:bottom w:val="nil"/>
              <w:right w:val="nil"/>
            </w:tcBorders>
          </w:tcPr>
          <w:p w14:paraId="4DD22660" w14:textId="77777777" w:rsidR="00EA3AAA" w:rsidRPr="00961FC7" w:rsidRDefault="00EA3AAA" w:rsidP="00F963A3">
            <w:pPr>
              <w:jc w:val="left"/>
              <w:rPr>
                <w:b/>
                <w:sz w:val="18"/>
                <w:szCs w:val="18"/>
              </w:rPr>
            </w:pPr>
            <w:r w:rsidRPr="00961FC7">
              <w:rPr>
                <w:b/>
                <w:sz w:val="18"/>
                <w:szCs w:val="18"/>
              </w:rPr>
              <w:t>Gross financing requirement</w:t>
            </w:r>
          </w:p>
        </w:tc>
        <w:tc>
          <w:tcPr>
            <w:tcW w:w="2340" w:type="dxa"/>
            <w:tcBorders>
              <w:left w:val="nil"/>
              <w:bottom w:val="nil"/>
              <w:right w:val="nil"/>
            </w:tcBorders>
          </w:tcPr>
          <w:p w14:paraId="1217082B" w14:textId="3418E63F" w:rsidR="00EA3AAA" w:rsidRPr="00961FC7" w:rsidRDefault="00EA3AAA" w:rsidP="00F97684">
            <w:pPr>
              <w:jc w:val="center"/>
              <w:rPr>
                <w:b/>
                <w:sz w:val="18"/>
                <w:szCs w:val="18"/>
              </w:rPr>
            </w:pPr>
            <w:r w:rsidRPr="00961FC7">
              <w:rPr>
                <w:b/>
                <w:sz w:val="18"/>
                <w:szCs w:val="18"/>
              </w:rPr>
              <w:t>1,</w:t>
            </w:r>
            <w:r w:rsidR="00EE4303">
              <w:rPr>
                <w:b/>
                <w:sz w:val="18"/>
                <w:szCs w:val="18"/>
              </w:rPr>
              <w:t>533</w:t>
            </w:r>
          </w:p>
        </w:tc>
        <w:tc>
          <w:tcPr>
            <w:tcW w:w="2515" w:type="dxa"/>
            <w:tcBorders>
              <w:left w:val="nil"/>
              <w:bottom w:val="nil"/>
              <w:right w:val="nil"/>
            </w:tcBorders>
          </w:tcPr>
          <w:p w14:paraId="18A1248D" w14:textId="60D8627C" w:rsidR="00EA3AAA" w:rsidRPr="0059389A" w:rsidRDefault="0059389A" w:rsidP="00F97684">
            <w:pPr>
              <w:jc w:val="center"/>
              <w:rPr>
                <w:bCs/>
                <w:sz w:val="18"/>
                <w:szCs w:val="18"/>
              </w:rPr>
            </w:pPr>
            <w:r w:rsidRPr="0059389A">
              <w:rPr>
                <w:bCs/>
                <w:sz w:val="18"/>
                <w:szCs w:val="18"/>
              </w:rPr>
              <w:t>Subject to revision</w:t>
            </w:r>
          </w:p>
        </w:tc>
      </w:tr>
      <w:tr w:rsidR="00EA3AAA" w14:paraId="11A612A6" w14:textId="77777777" w:rsidTr="0067539F">
        <w:trPr>
          <w:trHeight w:val="124"/>
          <w:jc w:val="center"/>
        </w:trPr>
        <w:tc>
          <w:tcPr>
            <w:tcW w:w="4590" w:type="dxa"/>
            <w:tcBorders>
              <w:top w:val="nil"/>
              <w:left w:val="nil"/>
              <w:bottom w:val="nil"/>
              <w:right w:val="nil"/>
            </w:tcBorders>
          </w:tcPr>
          <w:p w14:paraId="29B1C248" w14:textId="77777777" w:rsidR="00EA3AAA" w:rsidRPr="00961FC7" w:rsidRDefault="00EA3AAA" w:rsidP="00F97684">
            <w:pPr>
              <w:rPr>
                <w:b/>
                <w:sz w:val="18"/>
                <w:szCs w:val="18"/>
              </w:rPr>
            </w:pPr>
            <w:r w:rsidRPr="00961FC7">
              <w:rPr>
                <w:b/>
                <w:sz w:val="18"/>
                <w:szCs w:val="18"/>
              </w:rPr>
              <w:t>Gross domestic financing</w:t>
            </w:r>
          </w:p>
        </w:tc>
        <w:tc>
          <w:tcPr>
            <w:tcW w:w="2340" w:type="dxa"/>
            <w:tcBorders>
              <w:top w:val="nil"/>
              <w:left w:val="nil"/>
              <w:bottom w:val="nil"/>
              <w:right w:val="nil"/>
            </w:tcBorders>
          </w:tcPr>
          <w:p w14:paraId="237714B5" w14:textId="5A490A39" w:rsidR="00EA3AAA" w:rsidRPr="00961FC7" w:rsidRDefault="006014C8" w:rsidP="00F97684">
            <w:pPr>
              <w:jc w:val="center"/>
              <w:rPr>
                <w:b/>
                <w:sz w:val="18"/>
                <w:szCs w:val="18"/>
              </w:rPr>
            </w:pPr>
            <w:r>
              <w:rPr>
                <w:b/>
                <w:sz w:val="18"/>
                <w:szCs w:val="18"/>
              </w:rPr>
              <w:t>23</w:t>
            </w:r>
          </w:p>
        </w:tc>
        <w:tc>
          <w:tcPr>
            <w:tcW w:w="2515" w:type="dxa"/>
            <w:tcBorders>
              <w:top w:val="nil"/>
              <w:left w:val="nil"/>
              <w:bottom w:val="nil"/>
              <w:right w:val="nil"/>
            </w:tcBorders>
          </w:tcPr>
          <w:p w14:paraId="2A622159" w14:textId="7A743520" w:rsidR="00EA3AAA" w:rsidRPr="008C450D" w:rsidRDefault="006014C8" w:rsidP="00F97684">
            <w:pPr>
              <w:jc w:val="center"/>
              <w:rPr>
                <w:bCs/>
                <w:sz w:val="18"/>
                <w:szCs w:val="18"/>
                <w:highlight w:val="yellow"/>
              </w:rPr>
            </w:pPr>
            <w:r w:rsidRPr="006014C8">
              <w:rPr>
                <w:bCs/>
                <w:sz w:val="18"/>
                <w:szCs w:val="18"/>
              </w:rPr>
              <w:t>Subject to revision</w:t>
            </w:r>
          </w:p>
        </w:tc>
      </w:tr>
      <w:tr w:rsidR="00EA3AAA" w14:paraId="16421326" w14:textId="77777777" w:rsidTr="0067539F">
        <w:trPr>
          <w:trHeight w:val="124"/>
          <w:jc w:val="center"/>
        </w:trPr>
        <w:tc>
          <w:tcPr>
            <w:tcW w:w="4590" w:type="dxa"/>
            <w:tcBorders>
              <w:top w:val="nil"/>
              <w:left w:val="nil"/>
              <w:bottom w:val="single" w:sz="4" w:space="0" w:color="auto"/>
              <w:right w:val="nil"/>
            </w:tcBorders>
          </w:tcPr>
          <w:p w14:paraId="2B263070" w14:textId="77777777" w:rsidR="00EA3AAA" w:rsidRPr="00961FC7" w:rsidRDefault="00EA3AAA" w:rsidP="00F97684">
            <w:pPr>
              <w:rPr>
                <w:b/>
                <w:sz w:val="18"/>
                <w:szCs w:val="18"/>
              </w:rPr>
            </w:pPr>
            <w:r w:rsidRPr="00961FC7">
              <w:rPr>
                <w:b/>
                <w:sz w:val="18"/>
                <w:szCs w:val="18"/>
              </w:rPr>
              <w:t>Gross foreign financing</w:t>
            </w:r>
          </w:p>
        </w:tc>
        <w:tc>
          <w:tcPr>
            <w:tcW w:w="2340" w:type="dxa"/>
            <w:tcBorders>
              <w:top w:val="nil"/>
              <w:left w:val="nil"/>
              <w:bottom w:val="single" w:sz="4" w:space="0" w:color="auto"/>
              <w:right w:val="nil"/>
            </w:tcBorders>
          </w:tcPr>
          <w:p w14:paraId="731D1320" w14:textId="1F68214D" w:rsidR="00EA3AAA" w:rsidRPr="00961FC7" w:rsidRDefault="005A7DCF" w:rsidP="00F97684">
            <w:pPr>
              <w:jc w:val="center"/>
              <w:rPr>
                <w:b/>
                <w:sz w:val="18"/>
                <w:szCs w:val="18"/>
              </w:rPr>
            </w:pPr>
            <w:r w:rsidRPr="00961FC7">
              <w:rPr>
                <w:b/>
                <w:sz w:val="18"/>
                <w:szCs w:val="18"/>
              </w:rPr>
              <w:t xml:space="preserve"> </w:t>
            </w:r>
            <w:r w:rsidR="002F7E6A" w:rsidRPr="00961FC7">
              <w:rPr>
                <w:b/>
                <w:sz w:val="18"/>
                <w:szCs w:val="18"/>
              </w:rPr>
              <w:t>1,</w:t>
            </w:r>
            <w:r w:rsidR="004954B9">
              <w:rPr>
                <w:b/>
                <w:sz w:val="18"/>
                <w:szCs w:val="18"/>
              </w:rPr>
              <w:t>51</w:t>
            </w:r>
            <w:r w:rsidR="002F7E6A" w:rsidRPr="00961FC7">
              <w:rPr>
                <w:b/>
                <w:sz w:val="18"/>
                <w:szCs w:val="18"/>
              </w:rPr>
              <w:t>0</w:t>
            </w:r>
            <w:r w:rsidR="009E4F9D" w:rsidRPr="00961FC7">
              <w:rPr>
                <w:sz w:val="18"/>
                <w:szCs w:val="18"/>
                <w:vertAlign w:val="superscript"/>
              </w:rPr>
              <w:t>a</w:t>
            </w:r>
          </w:p>
        </w:tc>
        <w:tc>
          <w:tcPr>
            <w:tcW w:w="2515" w:type="dxa"/>
            <w:tcBorders>
              <w:top w:val="nil"/>
              <w:left w:val="nil"/>
              <w:bottom w:val="single" w:sz="4" w:space="0" w:color="auto"/>
              <w:right w:val="nil"/>
            </w:tcBorders>
          </w:tcPr>
          <w:p w14:paraId="3D7395AE" w14:textId="77777777" w:rsidR="00EA3AAA" w:rsidRPr="00961FC7" w:rsidRDefault="00EA3AAA" w:rsidP="00F97684">
            <w:pPr>
              <w:jc w:val="center"/>
              <w:rPr>
                <w:b/>
                <w:sz w:val="18"/>
                <w:szCs w:val="18"/>
              </w:rPr>
            </w:pPr>
          </w:p>
        </w:tc>
      </w:tr>
      <w:tr w:rsidR="00EA3AAA" w14:paraId="22C51747" w14:textId="77777777" w:rsidTr="0067539F">
        <w:trPr>
          <w:trHeight w:val="124"/>
          <w:jc w:val="center"/>
        </w:trPr>
        <w:tc>
          <w:tcPr>
            <w:tcW w:w="4590" w:type="dxa"/>
            <w:tcBorders>
              <w:top w:val="single" w:sz="4" w:space="0" w:color="auto"/>
              <w:left w:val="nil"/>
              <w:bottom w:val="nil"/>
              <w:right w:val="nil"/>
            </w:tcBorders>
          </w:tcPr>
          <w:p w14:paraId="7FE55199" w14:textId="00825FFF" w:rsidR="00EA3AAA" w:rsidRPr="007A7823" w:rsidRDefault="00EA3AAA" w:rsidP="006919E4">
            <w:pPr>
              <w:rPr>
                <w:b/>
                <w:bCs/>
                <w:sz w:val="18"/>
                <w:szCs w:val="18"/>
              </w:rPr>
            </w:pPr>
            <w:r w:rsidRPr="007A7823">
              <w:rPr>
                <w:b/>
                <w:bCs/>
                <w:sz w:val="18"/>
                <w:szCs w:val="18"/>
              </w:rPr>
              <w:t>IMF</w:t>
            </w:r>
          </w:p>
        </w:tc>
        <w:tc>
          <w:tcPr>
            <w:tcW w:w="2340" w:type="dxa"/>
            <w:tcBorders>
              <w:top w:val="single" w:sz="4" w:space="0" w:color="auto"/>
              <w:left w:val="nil"/>
              <w:bottom w:val="nil"/>
              <w:right w:val="nil"/>
            </w:tcBorders>
          </w:tcPr>
          <w:p w14:paraId="1B784EA6" w14:textId="182120AC" w:rsidR="00EA3AAA" w:rsidRPr="007A7823" w:rsidRDefault="00EA3AAA" w:rsidP="00F97684">
            <w:pPr>
              <w:jc w:val="center"/>
              <w:rPr>
                <w:b/>
                <w:bCs/>
                <w:sz w:val="18"/>
                <w:szCs w:val="18"/>
              </w:rPr>
            </w:pPr>
            <w:r w:rsidRPr="007A7823">
              <w:rPr>
                <w:b/>
                <w:bCs/>
                <w:sz w:val="18"/>
                <w:szCs w:val="18"/>
              </w:rPr>
              <w:t>2</w:t>
            </w:r>
            <w:r w:rsidR="0074461B" w:rsidRPr="007A7823">
              <w:rPr>
                <w:b/>
                <w:bCs/>
                <w:sz w:val="18"/>
                <w:szCs w:val="18"/>
              </w:rPr>
              <w:t>0</w:t>
            </w:r>
            <w:r w:rsidRPr="007A7823">
              <w:rPr>
                <w:b/>
                <w:bCs/>
                <w:sz w:val="18"/>
                <w:szCs w:val="18"/>
              </w:rPr>
              <w:t>0</w:t>
            </w:r>
          </w:p>
        </w:tc>
        <w:tc>
          <w:tcPr>
            <w:tcW w:w="2515" w:type="dxa"/>
            <w:tcBorders>
              <w:top w:val="single" w:sz="4" w:space="0" w:color="auto"/>
              <w:left w:val="nil"/>
              <w:bottom w:val="nil"/>
              <w:right w:val="nil"/>
            </w:tcBorders>
          </w:tcPr>
          <w:p w14:paraId="716DF7B7" w14:textId="734550F9" w:rsidR="00EA3AAA" w:rsidRPr="00961FC7" w:rsidRDefault="00EA3AAA" w:rsidP="00F5302B">
            <w:pPr>
              <w:ind w:left="-195" w:right="-104"/>
              <w:jc w:val="center"/>
              <w:rPr>
                <w:sz w:val="18"/>
                <w:szCs w:val="18"/>
              </w:rPr>
            </w:pPr>
            <w:r w:rsidRPr="00961FC7">
              <w:rPr>
                <w:sz w:val="18"/>
                <w:szCs w:val="18"/>
              </w:rPr>
              <w:t>$3</w:t>
            </w:r>
            <w:r w:rsidR="00584B72">
              <w:rPr>
                <w:sz w:val="18"/>
                <w:szCs w:val="18"/>
              </w:rPr>
              <w:t>7</w:t>
            </w:r>
            <w:r w:rsidRPr="00961FC7">
              <w:rPr>
                <w:sz w:val="18"/>
                <w:szCs w:val="18"/>
              </w:rPr>
              <w:t>5 augmentation of</w:t>
            </w:r>
            <w:r w:rsidR="00A75BB1">
              <w:rPr>
                <w:sz w:val="18"/>
                <w:szCs w:val="18"/>
              </w:rPr>
              <w:t xml:space="preserve"> EFF</w:t>
            </w:r>
            <w:r w:rsidRPr="00961FC7">
              <w:rPr>
                <w:sz w:val="18"/>
                <w:szCs w:val="18"/>
              </w:rPr>
              <w:t xml:space="preserve"> </w:t>
            </w:r>
          </w:p>
        </w:tc>
      </w:tr>
      <w:tr w:rsidR="00EA3AAA" w14:paraId="600E9F80" w14:textId="77777777" w:rsidTr="0067539F">
        <w:trPr>
          <w:trHeight w:val="183"/>
          <w:jc w:val="center"/>
        </w:trPr>
        <w:tc>
          <w:tcPr>
            <w:tcW w:w="4590" w:type="dxa"/>
            <w:tcBorders>
              <w:top w:val="nil"/>
              <w:left w:val="nil"/>
              <w:bottom w:val="nil"/>
              <w:right w:val="nil"/>
            </w:tcBorders>
            <w:shd w:val="clear" w:color="auto" w:fill="auto"/>
          </w:tcPr>
          <w:p w14:paraId="7E1AB291" w14:textId="1ED9676B" w:rsidR="00EA3AAA" w:rsidRPr="007A7823" w:rsidRDefault="00EA3AAA" w:rsidP="006919E4">
            <w:pPr>
              <w:rPr>
                <w:b/>
                <w:bCs/>
                <w:color w:val="000000" w:themeColor="text1"/>
                <w:sz w:val="18"/>
                <w:szCs w:val="18"/>
              </w:rPr>
            </w:pPr>
            <w:r w:rsidRPr="007A7823">
              <w:rPr>
                <w:b/>
                <w:bCs/>
                <w:color w:val="000000" w:themeColor="text1"/>
                <w:sz w:val="18"/>
                <w:szCs w:val="18"/>
              </w:rPr>
              <w:t>ADB</w:t>
            </w:r>
          </w:p>
        </w:tc>
        <w:tc>
          <w:tcPr>
            <w:tcW w:w="2340" w:type="dxa"/>
            <w:tcBorders>
              <w:top w:val="nil"/>
              <w:left w:val="nil"/>
              <w:bottom w:val="nil"/>
              <w:right w:val="nil"/>
            </w:tcBorders>
            <w:shd w:val="clear" w:color="auto" w:fill="auto"/>
          </w:tcPr>
          <w:p w14:paraId="61415238" w14:textId="237F30FB" w:rsidR="00EA3AAA" w:rsidRPr="007A7823" w:rsidRDefault="008D0B93" w:rsidP="00F97684">
            <w:pPr>
              <w:jc w:val="center"/>
              <w:rPr>
                <w:b/>
                <w:bCs/>
                <w:color w:val="000000" w:themeColor="text1"/>
                <w:sz w:val="18"/>
                <w:szCs w:val="18"/>
              </w:rPr>
            </w:pPr>
            <w:r w:rsidRPr="007A7823">
              <w:rPr>
                <w:b/>
                <w:bCs/>
                <w:color w:val="000000" w:themeColor="text1"/>
                <w:sz w:val="18"/>
                <w:szCs w:val="18"/>
              </w:rPr>
              <w:t xml:space="preserve"> 6</w:t>
            </w:r>
            <w:r w:rsidR="004954B9" w:rsidRPr="007A7823">
              <w:rPr>
                <w:b/>
                <w:bCs/>
                <w:color w:val="000000" w:themeColor="text1"/>
                <w:sz w:val="18"/>
                <w:szCs w:val="18"/>
              </w:rPr>
              <w:t>3</w:t>
            </w:r>
            <w:r w:rsidR="00EA3AAA" w:rsidRPr="007A7823">
              <w:rPr>
                <w:b/>
                <w:bCs/>
                <w:color w:val="000000" w:themeColor="text1"/>
                <w:sz w:val="18"/>
                <w:szCs w:val="18"/>
              </w:rPr>
              <w:t>0</w:t>
            </w:r>
            <w:r w:rsidR="000E4DE5" w:rsidRPr="007A7823">
              <w:rPr>
                <w:b/>
                <w:bCs/>
                <w:sz w:val="18"/>
                <w:szCs w:val="18"/>
                <w:vertAlign w:val="superscript"/>
              </w:rPr>
              <w:t xml:space="preserve"> </w:t>
            </w:r>
          </w:p>
        </w:tc>
        <w:tc>
          <w:tcPr>
            <w:tcW w:w="2515" w:type="dxa"/>
            <w:tcBorders>
              <w:top w:val="nil"/>
              <w:left w:val="nil"/>
              <w:bottom w:val="nil"/>
              <w:right w:val="nil"/>
            </w:tcBorders>
          </w:tcPr>
          <w:p w14:paraId="21FC1DC4" w14:textId="386E67D0" w:rsidR="00EA3AAA" w:rsidRPr="00961FC7" w:rsidRDefault="00EA3AAA" w:rsidP="00F97684">
            <w:pPr>
              <w:jc w:val="center"/>
              <w:rPr>
                <w:sz w:val="18"/>
                <w:szCs w:val="18"/>
                <w:highlight w:val="yellow"/>
              </w:rPr>
            </w:pPr>
          </w:p>
        </w:tc>
      </w:tr>
      <w:tr w:rsidR="006B5FC2" w:rsidRPr="0067539F" w14:paraId="7C7CE7B1" w14:textId="77777777" w:rsidTr="0067539F">
        <w:trPr>
          <w:trHeight w:val="183"/>
          <w:jc w:val="center"/>
        </w:trPr>
        <w:tc>
          <w:tcPr>
            <w:tcW w:w="4590" w:type="dxa"/>
            <w:tcBorders>
              <w:top w:val="nil"/>
              <w:left w:val="nil"/>
              <w:bottom w:val="nil"/>
              <w:right w:val="nil"/>
            </w:tcBorders>
            <w:shd w:val="clear" w:color="auto" w:fill="auto"/>
          </w:tcPr>
          <w:p w14:paraId="787B5665" w14:textId="53D34A05" w:rsidR="006B5FC2" w:rsidRPr="0067539F" w:rsidRDefault="00B63581" w:rsidP="0067539F">
            <w:pPr>
              <w:jc w:val="left"/>
              <w:rPr>
                <w:color w:val="000000" w:themeColor="text1"/>
                <w:sz w:val="18"/>
                <w:szCs w:val="18"/>
              </w:rPr>
            </w:pPr>
            <w:r>
              <w:rPr>
                <w:color w:val="000000" w:themeColor="text1"/>
                <w:sz w:val="18"/>
                <w:szCs w:val="18"/>
              </w:rPr>
              <w:t xml:space="preserve">   </w:t>
            </w:r>
            <w:r w:rsidRPr="0067539F">
              <w:rPr>
                <w:color w:val="000000" w:themeColor="text1"/>
                <w:sz w:val="18"/>
                <w:szCs w:val="18"/>
              </w:rPr>
              <w:t>CARES Program</w:t>
            </w:r>
            <w:r w:rsidR="00C5465D" w:rsidRPr="0067539F">
              <w:rPr>
                <w:color w:val="000000" w:themeColor="text1"/>
                <w:sz w:val="18"/>
                <w:szCs w:val="18"/>
              </w:rPr>
              <w:t xml:space="preserve"> (CPRO)</w:t>
            </w:r>
          </w:p>
        </w:tc>
        <w:tc>
          <w:tcPr>
            <w:tcW w:w="2340" w:type="dxa"/>
            <w:tcBorders>
              <w:top w:val="nil"/>
              <w:left w:val="nil"/>
              <w:bottom w:val="nil"/>
              <w:right w:val="nil"/>
            </w:tcBorders>
            <w:shd w:val="clear" w:color="auto" w:fill="auto"/>
          </w:tcPr>
          <w:p w14:paraId="2EAE5475" w14:textId="0DA59F92" w:rsidR="006B5FC2" w:rsidRPr="0067539F" w:rsidRDefault="000044B8" w:rsidP="00F97684">
            <w:pPr>
              <w:jc w:val="center"/>
              <w:rPr>
                <w:color w:val="000000" w:themeColor="text1"/>
                <w:sz w:val="18"/>
                <w:szCs w:val="18"/>
              </w:rPr>
            </w:pPr>
            <w:r w:rsidRPr="0067539F">
              <w:rPr>
                <w:color w:val="000000" w:themeColor="text1"/>
                <w:sz w:val="18"/>
                <w:szCs w:val="18"/>
              </w:rPr>
              <w:t>100</w:t>
            </w:r>
          </w:p>
        </w:tc>
        <w:tc>
          <w:tcPr>
            <w:tcW w:w="2515" w:type="dxa"/>
            <w:tcBorders>
              <w:top w:val="nil"/>
              <w:left w:val="nil"/>
              <w:bottom w:val="nil"/>
              <w:right w:val="nil"/>
            </w:tcBorders>
          </w:tcPr>
          <w:p w14:paraId="70EAD867" w14:textId="77777777" w:rsidR="006B5FC2" w:rsidRPr="00961FC7" w:rsidRDefault="006B5FC2" w:rsidP="00F97684">
            <w:pPr>
              <w:jc w:val="center"/>
              <w:rPr>
                <w:sz w:val="18"/>
                <w:szCs w:val="18"/>
                <w:highlight w:val="yellow"/>
              </w:rPr>
            </w:pPr>
          </w:p>
        </w:tc>
      </w:tr>
      <w:tr w:rsidR="006B5FC2" w:rsidRPr="0067539F" w14:paraId="759F2E5A" w14:textId="77777777" w:rsidTr="0067539F">
        <w:trPr>
          <w:trHeight w:val="183"/>
          <w:jc w:val="center"/>
        </w:trPr>
        <w:tc>
          <w:tcPr>
            <w:tcW w:w="4590" w:type="dxa"/>
            <w:tcBorders>
              <w:top w:val="nil"/>
              <w:left w:val="nil"/>
              <w:bottom w:val="nil"/>
              <w:right w:val="nil"/>
            </w:tcBorders>
            <w:shd w:val="clear" w:color="auto" w:fill="auto"/>
          </w:tcPr>
          <w:p w14:paraId="23C5A1C5" w14:textId="12A588C7" w:rsidR="006B5FC2" w:rsidRPr="0067539F" w:rsidRDefault="00B63581" w:rsidP="0067539F">
            <w:pPr>
              <w:rPr>
                <w:color w:val="000000" w:themeColor="text1"/>
                <w:sz w:val="18"/>
                <w:szCs w:val="18"/>
              </w:rPr>
            </w:pPr>
            <w:r>
              <w:rPr>
                <w:color w:val="000000" w:themeColor="text1"/>
                <w:sz w:val="18"/>
                <w:szCs w:val="18"/>
              </w:rPr>
              <w:t xml:space="preserve">    </w:t>
            </w:r>
            <w:r w:rsidR="007E418A" w:rsidRPr="0067539F">
              <w:rPr>
                <w:color w:val="000000" w:themeColor="text1"/>
                <w:sz w:val="18"/>
                <w:szCs w:val="18"/>
              </w:rPr>
              <w:t>Fiscal Man</w:t>
            </w:r>
            <w:r w:rsidR="006919E4" w:rsidRPr="0067539F">
              <w:rPr>
                <w:color w:val="000000" w:themeColor="text1"/>
                <w:sz w:val="18"/>
                <w:szCs w:val="18"/>
              </w:rPr>
              <w:t xml:space="preserve">agement </w:t>
            </w:r>
            <w:r w:rsidR="00C5465D" w:rsidRPr="0067539F">
              <w:rPr>
                <w:color w:val="000000" w:themeColor="text1"/>
                <w:sz w:val="18"/>
                <w:szCs w:val="18"/>
              </w:rPr>
              <w:t>and Social Protection</w:t>
            </w:r>
            <w:r w:rsidR="006919E4" w:rsidRPr="0067539F">
              <w:rPr>
                <w:color w:val="000000" w:themeColor="text1"/>
                <w:sz w:val="18"/>
                <w:szCs w:val="18"/>
              </w:rPr>
              <w:t xml:space="preserve"> PBL</w:t>
            </w:r>
          </w:p>
        </w:tc>
        <w:tc>
          <w:tcPr>
            <w:tcW w:w="2340" w:type="dxa"/>
            <w:tcBorders>
              <w:top w:val="nil"/>
              <w:left w:val="nil"/>
              <w:bottom w:val="nil"/>
              <w:right w:val="nil"/>
            </w:tcBorders>
            <w:shd w:val="clear" w:color="auto" w:fill="auto"/>
          </w:tcPr>
          <w:p w14:paraId="6FDBBA4F" w14:textId="695EC509" w:rsidR="006B5FC2" w:rsidRPr="0067539F" w:rsidRDefault="007A7823" w:rsidP="00F97684">
            <w:pPr>
              <w:jc w:val="center"/>
              <w:rPr>
                <w:color w:val="000000" w:themeColor="text1"/>
                <w:sz w:val="18"/>
                <w:szCs w:val="18"/>
              </w:rPr>
            </w:pPr>
            <w:r w:rsidRPr="0067539F">
              <w:rPr>
                <w:color w:val="000000" w:themeColor="text1"/>
                <w:sz w:val="18"/>
                <w:szCs w:val="18"/>
              </w:rPr>
              <w:t>350</w:t>
            </w:r>
          </w:p>
        </w:tc>
        <w:tc>
          <w:tcPr>
            <w:tcW w:w="2515" w:type="dxa"/>
            <w:tcBorders>
              <w:top w:val="nil"/>
              <w:left w:val="nil"/>
              <w:bottom w:val="nil"/>
              <w:right w:val="nil"/>
            </w:tcBorders>
          </w:tcPr>
          <w:p w14:paraId="5B876E4C" w14:textId="77777777" w:rsidR="006B5FC2" w:rsidRPr="00961FC7" w:rsidRDefault="006B5FC2" w:rsidP="00F97684">
            <w:pPr>
              <w:jc w:val="center"/>
              <w:rPr>
                <w:sz w:val="18"/>
                <w:szCs w:val="18"/>
                <w:highlight w:val="yellow"/>
              </w:rPr>
            </w:pPr>
          </w:p>
        </w:tc>
      </w:tr>
      <w:tr w:rsidR="006B5FC2" w:rsidRPr="0067539F" w14:paraId="49302508" w14:textId="77777777" w:rsidTr="0067539F">
        <w:trPr>
          <w:trHeight w:val="183"/>
          <w:jc w:val="center"/>
        </w:trPr>
        <w:tc>
          <w:tcPr>
            <w:tcW w:w="4590" w:type="dxa"/>
            <w:tcBorders>
              <w:top w:val="nil"/>
              <w:left w:val="nil"/>
              <w:bottom w:val="nil"/>
              <w:right w:val="nil"/>
            </w:tcBorders>
            <w:shd w:val="clear" w:color="auto" w:fill="auto"/>
          </w:tcPr>
          <w:p w14:paraId="3EB71325" w14:textId="10D591B9" w:rsidR="006B5FC2" w:rsidRPr="0067539F" w:rsidRDefault="006919E4" w:rsidP="0067539F">
            <w:pPr>
              <w:rPr>
                <w:color w:val="000000" w:themeColor="text1"/>
                <w:sz w:val="18"/>
                <w:szCs w:val="18"/>
              </w:rPr>
            </w:pPr>
            <w:r>
              <w:rPr>
                <w:color w:val="000000" w:themeColor="text1"/>
                <w:sz w:val="18"/>
                <w:szCs w:val="18"/>
              </w:rPr>
              <w:t xml:space="preserve">    </w:t>
            </w:r>
            <w:r w:rsidR="003B6CB6" w:rsidRPr="0067539F">
              <w:rPr>
                <w:color w:val="000000" w:themeColor="text1"/>
                <w:sz w:val="18"/>
                <w:szCs w:val="18"/>
              </w:rPr>
              <w:t xml:space="preserve">Modern Skills for </w:t>
            </w:r>
            <w:r w:rsidR="00C5465D" w:rsidRPr="0067539F">
              <w:rPr>
                <w:color w:val="000000" w:themeColor="text1"/>
                <w:sz w:val="18"/>
                <w:szCs w:val="18"/>
              </w:rPr>
              <w:t>B</w:t>
            </w:r>
            <w:r w:rsidR="003B6CB6" w:rsidRPr="0067539F">
              <w:rPr>
                <w:color w:val="000000" w:themeColor="text1"/>
                <w:sz w:val="18"/>
                <w:szCs w:val="18"/>
              </w:rPr>
              <w:t xml:space="preserve">etter </w:t>
            </w:r>
            <w:r w:rsidR="00C5465D" w:rsidRPr="0067539F">
              <w:rPr>
                <w:color w:val="000000" w:themeColor="text1"/>
                <w:sz w:val="18"/>
                <w:szCs w:val="18"/>
              </w:rPr>
              <w:t>J</w:t>
            </w:r>
            <w:r w:rsidR="003B6CB6" w:rsidRPr="0067539F">
              <w:rPr>
                <w:color w:val="000000" w:themeColor="text1"/>
                <w:sz w:val="18"/>
                <w:szCs w:val="18"/>
              </w:rPr>
              <w:t xml:space="preserve">obs </w:t>
            </w:r>
            <w:r w:rsidR="002F35F4" w:rsidRPr="0067539F">
              <w:rPr>
                <w:color w:val="000000" w:themeColor="text1"/>
                <w:sz w:val="18"/>
                <w:szCs w:val="18"/>
              </w:rPr>
              <w:t>(</w:t>
            </w:r>
            <w:r w:rsidR="003B6CB6" w:rsidRPr="0067539F">
              <w:rPr>
                <w:color w:val="000000" w:themeColor="text1"/>
                <w:sz w:val="18"/>
                <w:szCs w:val="18"/>
              </w:rPr>
              <w:t>SDL</w:t>
            </w:r>
            <w:r w:rsidR="002F35F4" w:rsidRPr="0067539F">
              <w:rPr>
                <w:color w:val="000000" w:themeColor="text1"/>
                <w:sz w:val="18"/>
                <w:szCs w:val="18"/>
              </w:rPr>
              <w:t>)</w:t>
            </w:r>
          </w:p>
        </w:tc>
        <w:tc>
          <w:tcPr>
            <w:tcW w:w="2340" w:type="dxa"/>
            <w:tcBorders>
              <w:top w:val="nil"/>
              <w:left w:val="nil"/>
              <w:bottom w:val="nil"/>
              <w:right w:val="nil"/>
            </w:tcBorders>
            <w:shd w:val="clear" w:color="auto" w:fill="auto"/>
          </w:tcPr>
          <w:p w14:paraId="10664F48" w14:textId="0A968594" w:rsidR="006B5FC2" w:rsidRPr="0067539F" w:rsidRDefault="007A7823" w:rsidP="00F97684">
            <w:pPr>
              <w:jc w:val="center"/>
              <w:rPr>
                <w:color w:val="000000" w:themeColor="text1"/>
                <w:sz w:val="18"/>
                <w:szCs w:val="18"/>
              </w:rPr>
            </w:pPr>
            <w:r w:rsidRPr="0067539F">
              <w:rPr>
                <w:color w:val="000000" w:themeColor="text1"/>
                <w:sz w:val="18"/>
                <w:szCs w:val="18"/>
              </w:rPr>
              <w:t>50</w:t>
            </w:r>
          </w:p>
        </w:tc>
        <w:tc>
          <w:tcPr>
            <w:tcW w:w="2515" w:type="dxa"/>
            <w:tcBorders>
              <w:top w:val="nil"/>
              <w:left w:val="nil"/>
              <w:bottom w:val="nil"/>
              <w:right w:val="nil"/>
            </w:tcBorders>
          </w:tcPr>
          <w:p w14:paraId="3FFC32A8" w14:textId="77777777" w:rsidR="006B5FC2" w:rsidRPr="00961FC7" w:rsidRDefault="006B5FC2" w:rsidP="00F97684">
            <w:pPr>
              <w:jc w:val="center"/>
              <w:rPr>
                <w:sz w:val="18"/>
                <w:szCs w:val="18"/>
                <w:highlight w:val="yellow"/>
              </w:rPr>
            </w:pPr>
          </w:p>
        </w:tc>
      </w:tr>
      <w:tr w:rsidR="006B5FC2" w:rsidRPr="0067539F" w14:paraId="0CCC46DA" w14:textId="77777777" w:rsidTr="0067539F">
        <w:trPr>
          <w:trHeight w:val="183"/>
          <w:jc w:val="center"/>
        </w:trPr>
        <w:tc>
          <w:tcPr>
            <w:tcW w:w="4590" w:type="dxa"/>
            <w:tcBorders>
              <w:top w:val="nil"/>
              <w:left w:val="nil"/>
              <w:bottom w:val="nil"/>
              <w:right w:val="nil"/>
            </w:tcBorders>
            <w:shd w:val="clear" w:color="auto" w:fill="auto"/>
          </w:tcPr>
          <w:p w14:paraId="20710175" w14:textId="6C7F88E4" w:rsidR="006B5FC2" w:rsidRPr="0067539F" w:rsidRDefault="003B6CB6" w:rsidP="0067539F">
            <w:pPr>
              <w:rPr>
                <w:color w:val="000000" w:themeColor="text1"/>
                <w:sz w:val="18"/>
                <w:szCs w:val="18"/>
              </w:rPr>
            </w:pPr>
            <w:r>
              <w:rPr>
                <w:color w:val="000000" w:themeColor="text1"/>
                <w:sz w:val="18"/>
                <w:szCs w:val="18"/>
              </w:rPr>
              <w:t xml:space="preserve">    </w:t>
            </w:r>
            <w:r w:rsidR="00C5465D" w:rsidRPr="0067539F">
              <w:rPr>
                <w:color w:val="000000" w:themeColor="text1"/>
                <w:sz w:val="18"/>
                <w:szCs w:val="18"/>
              </w:rPr>
              <w:t xml:space="preserve">Sustainable Water </w:t>
            </w:r>
            <w:proofErr w:type="gramStart"/>
            <w:r w:rsidR="00C5465D" w:rsidRPr="0067539F">
              <w:rPr>
                <w:color w:val="000000" w:themeColor="text1"/>
                <w:sz w:val="18"/>
                <w:szCs w:val="18"/>
              </w:rPr>
              <w:t>And</w:t>
            </w:r>
            <w:proofErr w:type="gramEnd"/>
            <w:r w:rsidR="00C5465D" w:rsidRPr="0067539F">
              <w:rPr>
                <w:color w:val="000000" w:themeColor="text1"/>
                <w:sz w:val="18"/>
                <w:szCs w:val="18"/>
              </w:rPr>
              <w:t xml:space="preserve"> Sanitation Services (</w:t>
            </w:r>
            <w:r w:rsidR="000044B8" w:rsidRPr="0067539F">
              <w:rPr>
                <w:color w:val="000000" w:themeColor="text1"/>
                <w:sz w:val="18"/>
                <w:szCs w:val="18"/>
              </w:rPr>
              <w:t>SDL)</w:t>
            </w:r>
          </w:p>
        </w:tc>
        <w:tc>
          <w:tcPr>
            <w:tcW w:w="2340" w:type="dxa"/>
            <w:tcBorders>
              <w:top w:val="nil"/>
              <w:left w:val="nil"/>
              <w:bottom w:val="nil"/>
              <w:right w:val="nil"/>
            </w:tcBorders>
            <w:shd w:val="clear" w:color="auto" w:fill="auto"/>
          </w:tcPr>
          <w:p w14:paraId="2A51AC3D" w14:textId="7A5E351C" w:rsidR="006B5FC2" w:rsidRPr="0067539F" w:rsidRDefault="007A7823" w:rsidP="007A7823">
            <w:pPr>
              <w:jc w:val="center"/>
              <w:rPr>
                <w:color w:val="000000" w:themeColor="text1"/>
                <w:sz w:val="18"/>
                <w:szCs w:val="18"/>
              </w:rPr>
            </w:pPr>
            <w:r w:rsidRPr="0067539F">
              <w:rPr>
                <w:color w:val="000000" w:themeColor="text1"/>
                <w:sz w:val="18"/>
                <w:szCs w:val="18"/>
              </w:rPr>
              <w:t>50</w:t>
            </w:r>
          </w:p>
        </w:tc>
        <w:tc>
          <w:tcPr>
            <w:tcW w:w="2515" w:type="dxa"/>
            <w:tcBorders>
              <w:top w:val="nil"/>
              <w:left w:val="nil"/>
              <w:bottom w:val="nil"/>
              <w:right w:val="nil"/>
            </w:tcBorders>
          </w:tcPr>
          <w:p w14:paraId="1A49659F" w14:textId="77777777" w:rsidR="006B5FC2" w:rsidRPr="00961FC7" w:rsidRDefault="006B5FC2" w:rsidP="00F97684">
            <w:pPr>
              <w:jc w:val="center"/>
              <w:rPr>
                <w:sz w:val="18"/>
                <w:szCs w:val="18"/>
                <w:highlight w:val="yellow"/>
              </w:rPr>
            </w:pPr>
          </w:p>
        </w:tc>
      </w:tr>
      <w:tr w:rsidR="006B5FC2" w:rsidRPr="0067539F" w14:paraId="7C7C5569" w14:textId="77777777" w:rsidTr="0067539F">
        <w:trPr>
          <w:trHeight w:val="183"/>
          <w:jc w:val="center"/>
        </w:trPr>
        <w:tc>
          <w:tcPr>
            <w:tcW w:w="4590" w:type="dxa"/>
            <w:tcBorders>
              <w:top w:val="nil"/>
              <w:left w:val="nil"/>
              <w:bottom w:val="nil"/>
              <w:right w:val="nil"/>
            </w:tcBorders>
            <w:shd w:val="clear" w:color="auto" w:fill="auto"/>
          </w:tcPr>
          <w:p w14:paraId="2852D074" w14:textId="6C441110" w:rsidR="006B5FC2" w:rsidRPr="0067539F" w:rsidRDefault="000044B8" w:rsidP="0067539F">
            <w:pPr>
              <w:rPr>
                <w:color w:val="000000" w:themeColor="text1"/>
                <w:sz w:val="18"/>
                <w:szCs w:val="18"/>
              </w:rPr>
            </w:pPr>
            <w:r>
              <w:rPr>
                <w:color w:val="000000" w:themeColor="text1"/>
                <w:sz w:val="18"/>
                <w:szCs w:val="18"/>
              </w:rPr>
              <w:t xml:space="preserve">  </w:t>
            </w:r>
            <w:r w:rsidR="002F35F4">
              <w:rPr>
                <w:color w:val="000000" w:themeColor="text1"/>
                <w:sz w:val="18"/>
                <w:szCs w:val="18"/>
              </w:rPr>
              <w:t xml:space="preserve"> </w:t>
            </w:r>
            <w:r>
              <w:rPr>
                <w:color w:val="000000" w:themeColor="text1"/>
                <w:sz w:val="18"/>
                <w:szCs w:val="18"/>
              </w:rPr>
              <w:t xml:space="preserve"> </w:t>
            </w:r>
            <w:r w:rsidRPr="0067539F">
              <w:rPr>
                <w:color w:val="000000" w:themeColor="text1"/>
                <w:sz w:val="18"/>
                <w:szCs w:val="18"/>
              </w:rPr>
              <w:t>State Electro System Corporatization</w:t>
            </w:r>
            <w:r w:rsidR="002F35F4" w:rsidRPr="0067539F">
              <w:rPr>
                <w:color w:val="000000" w:themeColor="text1"/>
                <w:sz w:val="18"/>
                <w:szCs w:val="18"/>
              </w:rPr>
              <w:t xml:space="preserve"> (SDL)</w:t>
            </w:r>
          </w:p>
        </w:tc>
        <w:tc>
          <w:tcPr>
            <w:tcW w:w="2340" w:type="dxa"/>
            <w:tcBorders>
              <w:top w:val="nil"/>
              <w:left w:val="nil"/>
              <w:bottom w:val="nil"/>
              <w:right w:val="nil"/>
            </w:tcBorders>
            <w:shd w:val="clear" w:color="auto" w:fill="auto"/>
          </w:tcPr>
          <w:p w14:paraId="0C13C83D" w14:textId="137E5F56" w:rsidR="006B5FC2" w:rsidRPr="0067539F" w:rsidRDefault="007A7823" w:rsidP="00F97684">
            <w:pPr>
              <w:jc w:val="center"/>
              <w:rPr>
                <w:color w:val="000000" w:themeColor="text1"/>
                <w:sz w:val="18"/>
                <w:szCs w:val="18"/>
              </w:rPr>
            </w:pPr>
            <w:r w:rsidRPr="0067539F">
              <w:rPr>
                <w:color w:val="000000" w:themeColor="text1"/>
                <w:sz w:val="18"/>
                <w:szCs w:val="18"/>
              </w:rPr>
              <w:t>80</w:t>
            </w:r>
          </w:p>
        </w:tc>
        <w:tc>
          <w:tcPr>
            <w:tcW w:w="2515" w:type="dxa"/>
            <w:tcBorders>
              <w:top w:val="nil"/>
              <w:left w:val="nil"/>
              <w:bottom w:val="nil"/>
              <w:right w:val="nil"/>
            </w:tcBorders>
          </w:tcPr>
          <w:p w14:paraId="6DF57452" w14:textId="77777777" w:rsidR="006B5FC2" w:rsidRPr="00961FC7" w:rsidRDefault="006B5FC2" w:rsidP="00F97684">
            <w:pPr>
              <w:jc w:val="center"/>
              <w:rPr>
                <w:sz w:val="18"/>
                <w:szCs w:val="18"/>
                <w:highlight w:val="yellow"/>
              </w:rPr>
            </w:pPr>
          </w:p>
        </w:tc>
      </w:tr>
      <w:tr w:rsidR="00EA3AAA" w14:paraId="5BAF5192" w14:textId="77777777" w:rsidTr="0067539F">
        <w:trPr>
          <w:trHeight w:val="183"/>
          <w:jc w:val="center"/>
        </w:trPr>
        <w:tc>
          <w:tcPr>
            <w:tcW w:w="4590" w:type="dxa"/>
            <w:tcBorders>
              <w:top w:val="nil"/>
              <w:left w:val="nil"/>
              <w:bottom w:val="nil"/>
              <w:right w:val="nil"/>
            </w:tcBorders>
          </w:tcPr>
          <w:p w14:paraId="2C09CD4A" w14:textId="07F00B5E" w:rsidR="00EA3AAA" w:rsidRPr="007A7823" w:rsidRDefault="00EA3AAA" w:rsidP="000044B8">
            <w:pPr>
              <w:rPr>
                <w:b/>
                <w:bCs/>
                <w:sz w:val="18"/>
                <w:szCs w:val="18"/>
              </w:rPr>
            </w:pPr>
            <w:r w:rsidRPr="007A7823">
              <w:rPr>
                <w:b/>
                <w:bCs/>
                <w:sz w:val="18"/>
                <w:szCs w:val="18"/>
              </w:rPr>
              <w:t>World Bank</w:t>
            </w:r>
            <w:r w:rsidR="005A7DCF" w:rsidRPr="007A7823">
              <w:rPr>
                <w:b/>
                <w:bCs/>
                <w:sz w:val="18"/>
                <w:szCs w:val="18"/>
              </w:rPr>
              <w:t>/AIIB</w:t>
            </w:r>
          </w:p>
        </w:tc>
        <w:tc>
          <w:tcPr>
            <w:tcW w:w="2340" w:type="dxa"/>
            <w:tcBorders>
              <w:top w:val="nil"/>
              <w:left w:val="nil"/>
              <w:bottom w:val="nil"/>
              <w:right w:val="nil"/>
            </w:tcBorders>
          </w:tcPr>
          <w:p w14:paraId="0F1556EB" w14:textId="6B41A500" w:rsidR="00EA3AAA" w:rsidRPr="007A7823" w:rsidRDefault="00EA3AAA" w:rsidP="00F97684">
            <w:pPr>
              <w:jc w:val="center"/>
              <w:rPr>
                <w:b/>
                <w:bCs/>
                <w:sz w:val="18"/>
                <w:szCs w:val="18"/>
              </w:rPr>
            </w:pPr>
            <w:r w:rsidRPr="007A7823">
              <w:rPr>
                <w:b/>
                <w:bCs/>
                <w:sz w:val="18"/>
                <w:szCs w:val="18"/>
              </w:rPr>
              <w:t>1</w:t>
            </w:r>
            <w:r w:rsidR="00407E1A" w:rsidRPr="007A7823">
              <w:rPr>
                <w:b/>
                <w:bCs/>
                <w:sz w:val="18"/>
                <w:szCs w:val="18"/>
              </w:rPr>
              <w:t>8</w:t>
            </w:r>
            <w:r w:rsidRPr="007A7823">
              <w:rPr>
                <w:b/>
                <w:bCs/>
                <w:sz w:val="18"/>
                <w:szCs w:val="18"/>
              </w:rPr>
              <w:t>0</w:t>
            </w:r>
          </w:p>
        </w:tc>
        <w:tc>
          <w:tcPr>
            <w:tcW w:w="2515" w:type="dxa"/>
            <w:tcBorders>
              <w:top w:val="nil"/>
              <w:left w:val="nil"/>
              <w:bottom w:val="nil"/>
              <w:right w:val="nil"/>
            </w:tcBorders>
          </w:tcPr>
          <w:p w14:paraId="40B43057" w14:textId="77777777" w:rsidR="00EA3AAA" w:rsidRPr="00961FC7" w:rsidRDefault="00EA3AAA" w:rsidP="00F97684">
            <w:pPr>
              <w:jc w:val="center"/>
              <w:rPr>
                <w:sz w:val="18"/>
                <w:szCs w:val="18"/>
              </w:rPr>
            </w:pPr>
          </w:p>
        </w:tc>
      </w:tr>
      <w:tr w:rsidR="00EA3AAA" w14:paraId="3695449E" w14:textId="77777777" w:rsidTr="0067539F">
        <w:trPr>
          <w:trHeight w:val="183"/>
          <w:jc w:val="center"/>
        </w:trPr>
        <w:tc>
          <w:tcPr>
            <w:tcW w:w="4590" w:type="dxa"/>
            <w:tcBorders>
              <w:top w:val="nil"/>
              <w:left w:val="nil"/>
              <w:bottom w:val="nil"/>
              <w:right w:val="nil"/>
            </w:tcBorders>
          </w:tcPr>
          <w:p w14:paraId="6FD93151" w14:textId="4D0FC4B7" w:rsidR="00EA3AAA" w:rsidRPr="007A7823" w:rsidRDefault="00EA3AAA" w:rsidP="000044B8">
            <w:pPr>
              <w:rPr>
                <w:b/>
                <w:bCs/>
                <w:sz w:val="18"/>
                <w:szCs w:val="18"/>
              </w:rPr>
            </w:pPr>
            <w:r w:rsidRPr="007A7823">
              <w:rPr>
                <w:b/>
                <w:bCs/>
                <w:sz w:val="18"/>
                <w:szCs w:val="18"/>
              </w:rPr>
              <w:t>AFD</w:t>
            </w:r>
          </w:p>
        </w:tc>
        <w:tc>
          <w:tcPr>
            <w:tcW w:w="2340" w:type="dxa"/>
            <w:tcBorders>
              <w:top w:val="nil"/>
              <w:left w:val="nil"/>
              <w:bottom w:val="nil"/>
              <w:right w:val="nil"/>
            </w:tcBorders>
          </w:tcPr>
          <w:p w14:paraId="7A45E41D" w14:textId="2D48CD77" w:rsidR="00EA3AAA" w:rsidRPr="007A7823" w:rsidRDefault="00E67A5F" w:rsidP="00F97684">
            <w:pPr>
              <w:jc w:val="center"/>
              <w:rPr>
                <w:b/>
                <w:bCs/>
                <w:sz w:val="18"/>
                <w:szCs w:val="18"/>
              </w:rPr>
            </w:pPr>
            <w:r w:rsidRPr="007A7823">
              <w:rPr>
                <w:b/>
                <w:bCs/>
                <w:sz w:val="18"/>
                <w:szCs w:val="18"/>
              </w:rPr>
              <w:t>205</w:t>
            </w:r>
          </w:p>
        </w:tc>
        <w:tc>
          <w:tcPr>
            <w:tcW w:w="2515" w:type="dxa"/>
            <w:tcBorders>
              <w:top w:val="nil"/>
              <w:left w:val="nil"/>
              <w:bottom w:val="nil"/>
              <w:right w:val="nil"/>
            </w:tcBorders>
          </w:tcPr>
          <w:p w14:paraId="664D17C1" w14:textId="77777777" w:rsidR="00EA3AAA" w:rsidRPr="00961FC7" w:rsidRDefault="00EA3AAA" w:rsidP="00F97684">
            <w:pPr>
              <w:jc w:val="center"/>
              <w:rPr>
                <w:sz w:val="18"/>
                <w:szCs w:val="18"/>
              </w:rPr>
            </w:pPr>
          </w:p>
        </w:tc>
      </w:tr>
      <w:tr w:rsidR="00EA3AAA" w14:paraId="7BE6D58A" w14:textId="77777777" w:rsidTr="0067539F">
        <w:trPr>
          <w:trHeight w:val="183"/>
          <w:jc w:val="center"/>
        </w:trPr>
        <w:tc>
          <w:tcPr>
            <w:tcW w:w="4590" w:type="dxa"/>
            <w:tcBorders>
              <w:top w:val="nil"/>
              <w:left w:val="nil"/>
              <w:bottom w:val="nil"/>
              <w:right w:val="nil"/>
            </w:tcBorders>
          </w:tcPr>
          <w:p w14:paraId="177644C2" w14:textId="601FEE6D" w:rsidR="00EA3AAA" w:rsidRPr="007A7823" w:rsidRDefault="00EA3AAA" w:rsidP="000044B8">
            <w:pPr>
              <w:rPr>
                <w:b/>
                <w:bCs/>
                <w:sz w:val="18"/>
                <w:szCs w:val="18"/>
              </w:rPr>
            </w:pPr>
            <w:proofErr w:type="spellStart"/>
            <w:r w:rsidRPr="007A7823">
              <w:rPr>
                <w:b/>
                <w:bCs/>
                <w:sz w:val="18"/>
                <w:szCs w:val="18"/>
              </w:rPr>
              <w:t>KfW</w:t>
            </w:r>
            <w:proofErr w:type="spellEnd"/>
          </w:p>
        </w:tc>
        <w:tc>
          <w:tcPr>
            <w:tcW w:w="2340" w:type="dxa"/>
            <w:tcBorders>
              <w:top w:val="nil"/>
              <w:left w:val="nil"/>
              <w:bottom w:val="nil"/>
              <w:right w:val="nil"/>
            </w:tcBorders>
          </w:tcPr>
          <w:p w14:paraId="2F387469" w14:textId="4232BD69" w:rsidR="00EA3AAA" w:rsidRPr="007A7823" w:rsidRDefault="00EA3AAA" w:rsidP="00F97684">
            <w:pPr>
              <w:jc w:val="center"/>
              <w:rPr>
                <w:b/>
                <w:bCs/>
                <w:sz w:val="18"/>
                <w:szCs w:val="18"/>
              </w:rPr>
            </w:pPr>
            <w:r w:rsidRPr="007A7823">
              <w:rPr>
                <w:b/>
                <w:bCs/>
                <w:sz w:val="18"/>
                <w:szCs w:val="18"/>
              </w:rPr>
              <w:t>1</w:t>
            </w:r>
            <w:r w:rsidR="00E67A5F" w:rsidRPr="007A7823">
              <w:rPr>
                <w:b/>
                <w:bCs/>
                <w:sz w:val="18"/>
                <w:szCs w:val="18"/>
              </w:rPr>
              <w:t>0</w:t>
            </w:r>
            <w:r w:rsidRPr="007A7823">
              <w:rPr>
                <w:b/>
                <w:bCs/>
                <w:sz w:val="18"/>
                <w:szCs w:val="18"/>
              </w:rPr>
              <w:t>0</w:t>
            </w:r>
          </w:p>
        </w:tc>
        <w:tc>
          <w:tcPr>
            <w:tcW w:w="2515" w:type="dxa"/>
            <w:tcBorders>
              <w:top w:val="nil"/>
              <w:left w:val="nil"/>
              <w:bottom w:val="nil"/>
              <w:right w:val="nil"/>
            </w:tcBorders>
          </w:tcPr>
          <w:p w14:paraId="23D6A0E2" w14:textId="77777777" w:rsidR="00EA3AAA" w:rsidRPr="00961FC7" w:rsidRDefault="00EA3AAA" w:rsidP="00F97684">
            <w:pPr>
              <w:jc w:val="center"/>
              <w:rPr>
                <w:sz w:val="18"/>
                <w:szCs w:val="18"/>
              </w:rPr>
            </w:pPr>
          </w:p>
        </w:tc>
      </w:tr>
      <w:tr w:rsidR="00EA3AAA" w14:paraId="3FBE796D" w14:textId="77777777" w:rsidTr="0067539F">
        <w:trPr>
          <w:trHeight w:val="183"/>
          <w:jc w:val="center"/>
        </w:trPr>
        <w:tc>
          <w:tcPr>
            <w:tcW w:w="4590" w:type="dxa"/>
            <w:tcBorders>
              <w:top w:val="nil"/>
              <w:left w:val="nil"/>
              <w:bottom w:val="nil"/>
              <w:right w:val="nil"/>
            </w:tcBorders>
          </w:tcPr>
          <w:p w14:paraId="619B0E5C" w14:textId="5CA98A4A" w:rsidR="00EA3AAA" w:rsidRPr="007A7823" w:rsidRDefault="00EA3AAA" w:rsidP="000044B8">
            <w:pPr>
              <w:rPr>
                <w:b/>
                <w:bCs/>
                <w:sz w:val="18"/>
                <w:szCs w:val="18"/>
              </w:rPr>
            </w:pPr>
            <w:r w:rsidRPr="007A7823">
              <w:rPr>
                <w:b/>
                <w:bCs/>
                <w:sz w:val="18"/>
                <w:szCs w:val="18"/>
              </w:rPr>
              <w:t>EU</w:t>
            </w:r>
          </w:p>
        </w:tc>
        <w:tc>
          <w:tcPr>
            <w:tcW w:w="2340" w:type="dxa"/>
            <w:tcBorders>
              <w:top w:val="nil"/>
              <w:left w:val="nil"/>
              <w:bottom w:val="nil"/>
              <w:right w:val="nil"/>
            </w:tcBorders>
          </w:tcPr>
          <w:p w14:paraId="1482C9C0" w14:textId="48DEBD89" w:rsidR="00EA3AAA" w:rsidRPr="007A7823" w:rsidRDefault="00E67A5F" w:rsidP="00F97684">
            <w:pPr>
              <w:jc w:val="center"/>
              <w:rPr>
                <w:b/>
                <w:bCs/>
                <w:sz w:val="18"/>
                <w:szCs w:val="18"/>
              </w:rPr>
            </w:pPr>
            <w:r w:rsidRPr="007A7823">
              <w:rPr>
                <w:b/>
                <w:bCs/>
                <w:sz w:val="18"/>
                <w:szCs w:val="18"/>
              </w:rPr>
              <w:t>95</w:t>
            </w:r>
          </w:p>
        </w:tc>
        <w:tc>
          <w:tcPr>
            <w:tcW w:w="2515" w:type="dxa"/>
            <w:tcBorders>
              <w:top w:val="nil"/>
              <w:left w:val="nil"/>
              <w:bottom w:val="nil"/>
              <w:right w:val="nil"/>
            </w:tcBorders>
          </w:tcPr>
          <w:p w14:paraId="7882748F" w14:textId="71603C4A" w:rsidR="00EA3AAA" w:rsidRPr="00961FC7" w:rsidRDefault="00EA3AAA" w:rsidP="00094C04">
            <w:pPr>
              <w:rPr>
                <w:sz w:val="18"/>
                <w:szCs w:val="18"/>
              </w:rPr>
            </w:pPr>
          </w:p>
        </w:tc>
      </w:tr>
      <w:tr w:rsidR="00163F3E" w14:paraId="1EC2AF0F" w14:textId="77777777" w:rsidTr="0067539F">
        <w:trPr>
          <w:trHeight w:val="183"/>
          <w:jc w:val="center"/>
        </w:trPr>
        <w:tc>
          <w:tcPr>
            <w:tcW w:w="4590" w:type="dxa"/>
            <w:tcBorders>
              <w:top w:val="nil"/>
              <w:left w:val="nil"/>
              <w:bottom w:val="single" w:sz="4" w:space="0" w:color="auto"/>
              <w:right w:val="nil"/>
            </w:tcBorders>
          </w:tcPr>
          <w:p w14:paraId="64C85FDE" w14:textId="490ED76A" w:rsidR="00163F3E" w:rsidRPr="007A7823" w:rsidRDefault="00163F3E" w:rsidP="000044B8">
            <w:pPr>
              <w:rPr>
                <w:b/>
                <w:bCs/>
                <w:sz w:val="18"/>
                <w:szCs w:val="18"/>
              </w:rPr>
            </w:pPr>
            <w:r w:rsidRPr="007A7823">
              <w:rPr>
                <w:b/>
                <w:bCs/>
                <w:sz w:val="18"/>
                <w:szCs w:val="18"/>
              </w:rPr>
              <w:t>AIIB</w:t>
            </w:r>
          </w:p>
        </w:tc>
        <w:tc>
          <w:tcPr>
            <w:tcW w:w="2340" w:type="dxa"/>
            <w:tcBorders>
              <w:top w:val="nil"/>
              <w:left w:val="nil"/>
              <w:bottom w:val="single" w:sz="4" w:space="0" w:color="auto"/>
              <w:right w:val="nil"/>
            </w:tcBorders>
          </w:tcPr>
          <w:p w14:paraId="7612B8DD" w14:textId="31C65F8C" w:rsidR="00163F3E" w:rsidRPr="007A7823" w:rsidRDefault="00163F3E" w:rsidP="00F97684">
            <w:pPr>
              <w:jc w:val="center"/>
              <w:rPr>
                <w:b/>
                <w:bCs/>
                <w:sz w:val="18"/>
                <w:szCs w:val="18"/>
              </w:rPr>
            </w:pPr>
            <w:r w:rsidRPr="007A7823">
              <w:rPr>
                <w:b/>
                <w:bCs/>
                <w:sz w:val="18"/>
                <w:szCs w:val="18"/>
              </w:rPr>
              <w:t>100</w:t>
            </w:r>
          </w:p>
        </w:tc>
        <w:tc>
          <w:tcPr>
            <w:tcW w:w="2515" w:type="dxa"/>
            <w:tcBorders>
              <w:top w:val="nil"/>
              <w:left w:val="nil"/>
              <w:bottom w:val="single" w:sz="4" w:space="0" w:color="auto"/>
              <w:right w:val="nil"/>
            </w:tcBorders>
          </w:tcPr>
          <w:p w14:paraId="474AE1BB" w14:textId="596AE20F" w:rsidR="00163F3E" w:rsidRPr="00961FC7" w:rsidRDefault="000044B8" w:rsidP="00094C04">
            <w:pPr>
              <w:rPr>
                <w:sz w:val="18"/>
                <w:szCs w:val="18"/>
              </w:rPr>
            </w:pPr>
            <w:r>
              <w:rPr>
                <w:sz w:val="18"/>
                <w:szCs w:val="18"/>
              </w:rPr>
              <w:t xml:space="preserve"> </w:t>
            </w:r>
          </w:p>
        </w:tc>
      </w:tr>
    </w:tbl>
    <w:p w14:paraId="42ACAAFF" w14:textId="54DC26D1" w:rsidR="00EA3AAA" w:rsidRPr="0075518C" w:rsidRDefault="00EA3AAA" w:rsidP="002A2B0C">
      <w:pPr>
        <w:pStyle w:val="TOC3"/>
        <w:numPr>
          <w:ilvl w:val="0"/>
          <w:numId w:val="0"/>
        </w:numPr>
        <w:spacing w:before="0" w:after="0"/>
        <w:ind w:right="90"/>
        <w:rPr>
          <w:sz w:val="18"/>
          <w:szCs w:val="18"/>
        </w:rPr>
      </w:pPr>
      <w:r w:rsidRPr="0075518C">
        <w:rPr>
          <w:sz w:val="18"/>
          <w:szCs w:val="18"/>
        </w:rPr>
        <w:t xml:space="preserve">ADB = Asian Development Bank, </w:t>
      </w:r>
      <w:r w:rsidR="005A7DCF">
        <w:rPr>
          <w:sz w:val="18"/>
          <w:szCs w:val="18"/>
        </w:rPr>
        <w:t xml:space="preserve">AIIB = Asian Infrastructure Investment Bank, </w:t>
      </w:r>
      <w:r w:rsidRPr="0075518C">
        <w:rPr>
          <w:sz w:val="18"/>
          <w:szCs w:val="18"/>
        </w:rPr>
        <w:t xml:space="preserve">AFD = </w:t>
      </w:r>
      <w:proofErr w:type="spellStart"/>
      <w:r w:rsidRPr="0075518C">
        <w:rPr>
          <w:sz w:val="18"/>
          <w:szCs w:val="18"/>
        </w:rPr>
        <w:t>Agence</w:t>
      </w:r>
      <w:proofErr w:type="spellEnd"/>
      <w:r w:rsidRPr="0075518C">
        <w:rPr>
          <w:sz w:val="18"/>
          <w:szCs w:val="18"/>
        </w:rPr>
        <w:t xml:space="preserve"> </w:t>
      </w:r>
      <w:proofErr w:type="spellStart"/>
      <w:r w:rsidRPr="0075518C">
        <w:rPr>
          <w:sz w:val="18"/>
          <w:szCs w:val="18"/>
        </w:rPr>
        <w:t>Francaise</w:t>
      </w:r>
      <w:proofErr w:type="spellEnd"/>
      <w:r w:rsidRPr="0075518C">
        <w:rPr>
          <w:sz w:val="18"/>
          <w:szCs w:val="18"/>
        </w:rPr>
        <w:t xml:space="preserve"> de </w:t>
      </w:r>
      <w:proofErr w:type="spellStart"/>
      <w:r w:rsidRPr="0075518C">
        <w:rPr>
          <w:sz w:val="18"/>
          <w:szCs w:val="18"/>
        </w:rPr>
        <w:t>Developpement</w:t>
      </w:r>
      <w:proofErr w:type="spellEnd"/>
      <w:r w:rsidRPr="0075518C">
        <w:rPr>
          <w:sz w:val="18"/>
          <w:szCs w:val="18"/>
        </w:rPr>
        <w:t>, EU = European Union, IMF = International Monetary Fund</w:t>
      </w:r>
      <w:r w:rsidR="00C0642A">
        <w:rPr>
          <w:sz w:val="18"/>
          <w:szCs w:val="18"/>
        </w:rPr>
        <w:t xml:space="preserve">, </w:t>
      </w:r>
      <w:proofErr w:type="spellStart"/>
      <w:r w:rsidR="00C0642A">
        <w:rPr>
          <w:sz w:val="18"/>
          <w:szCs w:val="18"/>
        </w:rPr>
        <w:t>KfW</w:t>
      </w:r>
      <w:proofErr w:type="spellEnd"/>
      <w:r w:rsidR="00C0642A">
        <w:rPr>
          <w:sz w:val="18"/>
          <w:szCs w:val="18"/>
        </w:rPr>
        <w:t xml:space="preserve"> = </w:t>
      </w:r>
      <w:proofErr w:type="spellStart"/>
      <w:r w:rsidR="00C0642A" w:rsidRPr="00C0642A">
        <w:rPr>
          <w:sz w:val="18"/>
          <w:szCs w:val="18"/>
        </w:rPr>
        <w:t>Kreditanstalt</w:t>
      </w:r>
      <w:proofErr w:type="spellEnd"/>
      <w:r w:rsidR="00C0642A" w:rsidRPr="00C0642A">
        <w:rPr>
          <w:sz w:val="18"/>
          <w:szCs w:val="18"/>
        </w:rPr>
        <w:t xml:space="preserve"> </w:t>
      </w:r>
      <w:proofErr w:type="spellStart"/>
      <w:r w:rsidR="00C0642A" w:rsidRPr="00C0642A">
        <w:rPr>
          <w:sz w:val="18"/>
          <w:szCs w:val="18"/>
        </w:rPr>
        <w:t>für</w:t>
      </w:r>
      <w:proofErr w:type="spellEnd"/>
      <w:r w:rsidR="00C0642A" w:rsidRPr="00C0642A">
        <w:rPr>
          <w:sz w:val="18"/>
          <w:szCs w:val="18"/>
        </w:rPr>
        <w:t xml:space="preserve"> </w:t>
      </w:r>
      <w:proofErr w:type="spellStart"/>
      <w:r w:rsidR="00C0642A" w:rsidRPr="00C0642A">
        <w:rPr>
          <w:sz w:val="18"/>
          <w:szCs w:val="18"/>
        </w:rPr>
        <w:t>Wiederaufbau</w:t>
      </w:r>
      <w:proofErr w:type="spellEnd"/>
      <w:r w:rsidR="00C0642A">
        <w:rPr>
          <w:sz w:val="18"/>
          <w:szCs w:val="18"/>
        </w:rPr>
        <w:t xml:space="preserve"> (</w:t>
      </w:r>
      <w:r w:rsidR="004803EC" w:rsidRPr="004803EC">
        <w:rPr>
          <w:sz w:val="18"/>
          <w:szCs w:val="18"/>
        </w:rPr>
        <w:t>German state-owned development bank</w:t>
      </w:r>
      <w:r w:rsidR="004803EC">
        <w:rPr>
          <w:sz w:val="18"/>
          <w:szCs w:val="18"/>
        </w:rPr>
        <w:t>)</w:t>
      </w:r>
      <w:r w:rsidR="009175CE">
        <w:rPr>
          <w:sz w:val="18"/>
          <w:szCs w:val="18"/>
        </w:rPr>
        <w:t>.</w:t>
      </w:r>
    </w:p>
    <w:p w14:paraId="3B27D818" w14:textId="6BCFE166" w:rsidR="00EA3AAA" w:rsidRDefault="00EA3AAA" w:rsidP="0075518C">
      <w:pPr>
        <w:pStyle w:val="TOC3"/>
        <w:numPr>
          <w:ilvl w:val="0"/>
          <w:numId w:val="0"/>
        </w:numPr>
        <w:spacing w:before="0" w:after="0"/>
        <w:rPr>
          <w:sz w:val="18"/>
          <w:szCs w:val="18"/>
        </w:rPr>
      </w:pPr>
      <w:r w:rsidRPr="0075518C">
        <w:rPr>
          <w:sz w:val="18"/>
          <w:szCs w:val="18"/>
        </w:rPr>
        <w:t>Source: Ministry of Finance</w:t>
      </w:r>
      <w:r w:rsidR="007C4189">
        <w:rPr>
          <w:sz w:val="18"/>
          <w:szCs w:val="18"/>
        </w:rPr>
        <w:t>.</w:t>
      </w:r>
    </w:p>
    <w:p w14:paraId="2A0867CD" w14:textId="77777777" w:rsidR="0075518C" w:rsidRPr="0075518C" w:rsidRDefault="0075518C" w:rsidP="0075518C"/>
    <w:p w14:paraId="7A5D390D" w14:textId="39A53FD9" w:rsidR="00197CE6" w:rsidRPr="00197CE6" w:rsidRDefault="00197CE6" w:rsidP="00EA2F1B">
      <w:pPr>
        <w:pStyle w:val="ListParagraph"/>
        <w:numPr>
          <w:ilvl w:val="0"/>
          <w:numId w:val="6"/>
        </w:numPr>
        <w:ind w:left="0" w:firstLine="0"/>
        <w:jc w:val="both"/>
        <w:rPr>
          <w:lang w:val="en-PH"/>
        </w:rPr>
      </w:pPr>
      <w:r w:rsidRPr="001A43AC">
        <w:rPr>
          <w:b/>
          <w:bCs/>
        </w:rPr>
        <w:t>Development Partner Coordination</w:t>
      </w:r>
      <w:r w:rsidRPr="00DC5CD6">
        <w:t xml:space="preserve">. Government of Georgia (GOG) is actively coordinating health, social and economic responses with development partners to overcome the pandemic with decisive policy measures. </w:t>
      </w:r>
      <w:r w:rsidRPr="003F184B">
        <w:t xml:space="preserve">Since February 2020, GOG has started to conduct </w:t>
      </w:r>
      <w:r>
        <w:t xml:space="preserve">regular </w:t>
      </w:r>
      <w:r w:rsidRPr="003F184B">
        <w:t>inter-agency coordinated council meetings</w:t>
      </w:r>
      <w:r>
        <w:t xml:space="preserve"> on </w:t>
      </w:r>
      <w:r w:rsidRPr="003F184B">
        <w:t>COVID-19</w:t>
      </w:r>
      <w:r>
        <w:t xml:space="preserve"> related issues</w:t>
      </w:r>
      <w:r w:rsidRPr="003F184B">
        <w:t xml:space="preserve">, </w:t>
      </w:r>
      <w:r>
        <w:t>which are chaired</w:t>
      </w:r>
      <w:r w:rsidRPr="003F184B">
        <w:t xml:space="preserve"> by </w:t>
      </w:r>
      <w:r>
        <w:t xml:space="preserve">the </w:t>
      </w:r>
      <w:r w:rsidRPr="003F184B">
        <w:t>Prime Minister. The council is actively cooperating with World Health Organization (WHO) on pre</w:t>
      </w:r>
      <w:r>
        <w:t>paredness and response</w:t>
      </w:r>
      <w:r w:rsidRPr="003F184B">
        <w:t xml:space="preserve"> measures to keep the situation under control.</w:t>
      </w:r>
      <w:r w:rsidRPr="001A43AC">
        <w:rPr>
          <w:rFonts w:cs="Arial"/>
          <w:color w:val="000000" w:themeColor="text1"/>
        </w:rPr>
        <w:t xml:space="preserve"> In preparation of the proposed </w:t>
      </w:r>
      <w:r>
        <w:rPr>
          <w:rFonts w:cs="Arial"/>
          <w:color w:val="000000" w:themeColor="text1"/>
        </w:rPr>
        <w:t xml:space="preserve">CARES </w:t>
      </w:r>
      <w:r w:rsidRPr="001A43AC">
        <w:rPr>
          <w:rFonts w:cs="Arial"/>
          <w:color w:val="000000" w:themeColor="text1"/>
        </w:rPr>
        <w:t xml:space="preserve">program, the ADB team has consulted and coordinated closely with the IMF on Georgia’s macroeconomic situation, and with other multilateral and bilateral development partners on potential financial support packages aimed at mitigating the negative impact caused by COVID-19. </w:t>
      </w:r>
      <w:r>
        <w:t xml:space="preserve">The proposed CARES program provides critical support to the government and complements other stakeholders’ responses. As economic impact of COVID-19 becomes clearer in the coming period, ADB will consider providing further support to the government and explore </w:t>
      </w:r>
      <w:proofErr w:type="spellStart"/>
      <w:r>
        <w:t>cofinancing</w:t>
      </w:r>
      <w:proofErr w:type="spellEnd"/>
      <w:r>
        <w:t xml:space="preserve"> opportunities.</w:t>
      </w:r>
      <w:r w:rsidRPr="005C59A5">
        <w:rPr>
          <w:rFonts w:cs="Arial"/>
          <w:color w:val="000000" w:themeColor="text1"/>
        </w:rPr>
        <w:t xml:space="preserve"> </w:t>
      </w:r>
      <w:r>
        <w:rPr>
          <w:rFonts w:cs="Arial"/>
          <w:color w:val="000000" w:themeColor="text1"/>
        </w:rPr>
        <w:t xml:space="preserve">ADB has also begun liaising with relevant development partners involved in the social protection space to coordinate future assistance. These include the European Union, </w:t>
      </w:r>
      <w:proofErr w:type="spellStart"/>
      <w:r>
        <w:rPr>
          <w:rFonts w:cs="Arial"/>
          <w:color w:val="000000" w:themeColor="text1"/>
        </w:rPr>
        <w:t>Agence</w:t>
      </w:r>
      <w:proofErr w:type="spellEnd"/>
      <w:r>
        <w:rPr>
          <w:rFonts w:cs="Arial"/>
          <w:color w:val="000000" w:themeColor="text1"/>
        </w:rPr>
        <w:t xml:space="preserve"> </w:t>
      </w:r>
      <w:proofErr w:type="spellStart"/>
      <w:r>
        <w:rPr>
          <w:rFonts w:cs="Arial"/>
          <w:color w:val="000000" w:themeColor="text1"/>
        </w:rPr>
        <w:t>Française</w:t>
      </w:r>
      <w:proofErr w:type="spellEnd"/>
      <w:r>
        <w:rPr>
          <w:rFonts w:cs="Arial"/>
          <w:color w:val="000000" w:themeColor="text1"/>
        </w:rPr>
        <w:t xml:space="preserve"> de </w:t>
      </w:r>
      <w:proofErr w:type="spellStart"/>
      <w:r>
        <w:rPr>
          <w:rFonts w:cs="Arial"/>
          <w:color w:val="000000" w:themeColor="text1"/>
        </w:rPr>
        <w:t>Developpement</w:t>
      </w:r>
      <w:proofErr w:type="spellEnd"/>
      <w:r>
        <w:rPr>
          <w:rFonts w:cs="Arial"/>
          <w:color w:val="000000" w:themeColor="text1"/>
        </w:rPr>
        <w:t xml:space="preserve"> (AFD) and the World Bank.</w:t>
      </w:r>
      <w:r w:rsidR="00B56680">
        <w:rPr>
          <w:rFonts w:cs="Arial"/>
          <w:color w:val="000000" w:themeColor="text1"/>
        </w:rPr>
        <w:t xml:space="preserve"> ADB will also remain involved in fiscal management reform areas, working closely with </w:t>
      </w:r>
      <w:r w:rsidR="002B2428">
        <w:rPr>
          <w:rFonts w:cs="Arial"/>
          <w:color w:val="000000" w:themeColor="text1"/>
        </w:rPr>
        <w:t>the IMF to monitor the macroeconomic situation.</w:t>
      </w:r>
    </w:p>
    <w:p w14:paraId="110648F5" w14:textId="77777777" w:rsidR="00197CE6" w:rsidRPr="00FF58A2" w:rsidRDefault="00197CE6" w:rsidP="00197CE6">
      <w:pPr>
        <w:pStyle w:val="ListParagraph"/>
        <w:ind w:left="0"/>
        <w:jc w:val="both"/>
        <w:rPr>
          <w:lang w:val="en-PH"/>
        </w:rPr>
      </w:pPr>
    </w:p>
    <w:p w14:paraId="41D3CF76" w14:textId="53FF0FEE" w:rsidR="00197CE6" w:rsidRPr="00197CE6" w:rsidRDefault="00197CE6" w:rsidP="00EA2F1B">
      <w:pPr>
        <w:pStyle w:val="ListParagraph"/>
        <w:numPr>
          <w:ilvl w:val="0"/>
          <w:numId w:val="6"/>
        </w:numPr>
        <w:ind w:left="0" w:firstLine="0"/>
        <w:jc w:val="both"/>
        <w:rPr>
          <w:lang w:val="en-PH"/>
        </w:rPr>
      </w:pPr>
      <w:r w:rsidRPr="00182A51">
        <w:rPr>
          <w:b/>
          <w:bCs/>
        </w:rPr>
        <w:t>Coordination with the International Monetary Fund.</w:t>
      </w:r>
      <w:r w:rsidRPr="00182A51">
        <w:t xml:space="preserve"> The IMF </w:t>
      </w:r>
      <w:r>
        <w:t>and the government recently agreed to an extension of the</w:t>
      </w:r>
      <w:r w:rsidRPr="00182A51">
        <w:t xml:space="preserve"> Extended Fund Facility</w:t>
      </w:r>
      <w:r>
        <w:t xml:space="preserve"> (EFF)</w:t>
      </w:r>
      <w:r w:rsidRPr="00182A51">
        <w:t xml:space="preserve"> until April 2021.</w:t>
      </w:r>
      <w:r>
        <w:rPr>
          <w:rStyle w:val="FootnoteReference"/>
        </w:rPr>
        <w:footnoteReference w:id="73"/>
      </w:r>
      <w:r w:rsidRPr="00182A51">
        <w:t xml:space="preserve"> </w:t>
      </w:r>
      <w:r>
        <w:t>T</w:t>
      </w:r>
      <w:r w:rsidRPr="00182A51">
        <w:t xml:space="preserve">he </w:t>
      </w:r>
      <w:r>
        <w:t>IMF</w:t>
      </w:r>
      <w:r w:rsidRPr="00182A51">
        <w:t xml:space="preserve"> will </w:t>
      </w:r>
      <w:r>
        <w:t>supervise</w:t>
      </w:r>
      <w:r w:rsidRPr="00182A51">
        <w:t xml:space="preserve"> compliance with performance criteria and structural benchmarks </w:t>
      </w:r>
      <w:r>
        <w:t>that</w:t>
      </w:r>
      <w:r w:rsidRPr="00182A51">
        <w:t xml:space="preserve"> help sustain </w:t>
      </w:r>
      <w:r>
        <w:t>medium term</w:t>
      </w:r>
      <w:r w:rsidRPr="00182A51">
        <w:t xml:space="preserve"> macroeconomic stability. ADB</w:t>
      </w:r>
      <w:r>
        <w:t xml:space="preserve"> h</w:t>
      </w:r>
      <w:r w:rsidRPr="00182A51">
        <w:t xml:space="preserve">as consistently liaised with the IMF as part of its engagement in </w:t>
      </w:r>
      <w:r>
        <w:t xml:space="preserve">public financial management (PFM) </w:t>
      </w:r>
      <w:r w:rsidRPr="00182A51">
        <w:t xml:space="preserve">in Georgia, under the </w:t>
      </w:r>
      <w:r>
        <w:t xml:space="preserve">Second </w:t>
      </w:r>
      <w:r w:rsidRPr="00182A51">
        <w:t xml:space="preserve">Domestic </w:t>
      </w:r>
      <w:r w:rsidRPr="00182A51">
        <w:lastRenderedPageBreak/>
        <w:t>Resource Mobilization Program</w:t>
      </w:r>
      <w:r>
        <w:rPr>
          <w:rStyle w:val="FootnoteReference"/>
        </w:rPr>
        <w:footnoteReference w:id="74"/>
      </w:r>
      <w:r w:rsidRPr="00182A51">
        <w:t xml:space="preserve"> and associated technical assistance projects</w:t>
      </w:r>
      <w:r>
        <w:t>.</w:t>
      </w:r>
      <w:r>
        <w:rPr>
          <w:rStyle w:val="FootnoteReference"/>
        </w:rPr>
        <w:footnoteReference w:id="75"/>
      </w:r>
      <w:r w:rsidRPr="00182A51">
        <w:t xml:space="preserve"> </w:t>
      </w:r>
      <w:r>
        <w:t>Recently</w:t>
      </w:r>
      <w:r w:rsidRPr="00182A51">
        <w:t xml:space="preserve">, coordination with the IMF and other development partners has </w:t>
      </w:r>
      <w:r>
        <w:t>further</w:t>
      </w:r>
      <w:r w:rsidRPr="00182A51">
        <w:t xml:space="preserve"> strengthened in order to </w:t>
      </w:r>
      <w:r>
        <w:t>converge around a coordinated response to the</w:t>
      </w:r>
      <w:r w:rsidRPr="00182A51">
        <w:t xml:space="preserve"> </w:t>
      </w:r>
      <w:r>
        <w:t>COVID-19</w:t>
      </w:r>
      <w:r w:rsidRPr="00182A51">
        <w:t xml:space="preserve"> crisis. The IMF </w:t>
      </w:r>
      <w:r>
        <w:t>welcomes</w:t>
      </w:r>
      <w:r w:rsidRPr="00182A51">
        <w:t xml:space="preserve"> ADB</w:t>
      </w:r>
      <w:r>
        <w:t>’s financial</w:t>
      </w:r>
      <w:r w:rsidRPr="00182A51">
        <w:t xml:space="preserve"> support to Georgia</w:t>
      </w:r>
      <w:r>
        <w:t>,</w:t>
      </w:r>
      <w:r w:rsidRPr="00182A51">
        <w:t xml:space="preserve"> wh</w:t>
      </w:r>
      <w:r>
        <w:t>ich</w:t>
      </w:r>
      <w:r w:rsidRPr="00182A51">
        <w:t xml:space="preserve"> </w:t>
      </w:r>
      <w:r>
        <w:t>will help prevent</w:t>
      </w:r>
      <w:r w:rsidRPr="00182A51">
        <w:t xml:space="preserve"> accumulation of more onerous financing.</w:t>
      </w:r>
      <w:r>
        <w:t xml:space="preserve"> The</w:t>
      </w:r>
      <w:r w:rsidRPr="00182A51">
        <w:t xml:space="preserve"> assessment letter</w:t>
      </w:r>
      <w:r>
        <w:t xml:space="preserve"> from the IMF and both DSAs, from the IMF as well as ADB’s, confirm</w:t>
      </w:r>
      <w:r w:rsidRPr="00182A51">
        <w:t xml:space="preserve"> that the proposed Program would not worsen the country’s debt sustainability </w:t>
      </w:r>
      <w:r>
        <w:t>situation</w:t>
      </w:r>
      <w:r w:rsidRPr="00182A51">
        <w:t>.</w:t>
      </w:r>
      <w:r>
        <w:t xml:space="preserve"> Coordination with the IMF and other development partners on the long-term implementation of macroeconomic and financial reforms is ensured on the regional level through activities of the Central Asia Regional Economic Cooperation program. Its economic and financial stability cluster holds regular high-level dialogues on macroeconomic policy design and management.</w:t>
      </w:r>
      <w:r>
        <w:rPr>
          <w:rStyle w:val="FootnoteReference"/>
        </w:rPr>
        <w:footnoteReference w:id="76"/>
      </w:r>
      <w:r>
        <w:t xml:space="preserve"> </w:t>
      </w:r>
    </w:p>
    <w:p w14:paraId="7B12F5F3" w14:textId="77777777" w:rsidR="00197CE6" w:rsidRPr="00F07BEE" w:rsidRDefault="00197CE6" w:rsidP="006D568B">
      <w:pPr>
        <w:pStyle w:val="ListParagraph"/>
        <w:ind w:left="0"/>
        <w:jc w:val="both"/>
        <w:rPr>
          <w:lang w:val="en-PH"/>
        </w:rPr>
      </w:pPr>
    </w:p>
    <w:p w14:paraId="19385B8D" w14:textId="735C3DED" w:rsidR="00FF58A2" w:rsidRPr="001C2D72" w:rsidRDefault="00F2003E" w:rsidP="002F569F">
      <w:pPr>
        <w:pStyle w:val="ListParagraph"/>
        <w:numPr>
          <w:ilvl w:val="0"/>
          <w:numId w:val="6"/>
        </w:numPr>
        <w:ind w:left="0" w:firstLine="0"/>
        <w:jc w:val="both"/>
        <w:rPr>
          <w:lang w:val="en-PH"/>
        </w:rPr>
      </w:pPr>
      <w:r w:rsidRPr="472BFD07">
        <w:rPr>
          <w:b/>
          <w:bCs/>
          <w:color w:val="000000" w:themeColor="text1"/>
        </w:rPr>
        <w:t xml:space="preserve">Debt </w:t>
      </w:r>
      <w:r w:rsidR="00940724">
        <w:rPr>
          <w:b/>
          <w:bCs/>
          <w:color w:val="000000" w:themeColor="text1"/>
        </w:rPr>
        <w:t>is sustainable</w:t>
      </w:r>
      <w:r w:rsidRPr="472BFD07">
        <w:rPr>
          <w:b/>
          <w:bCs/>
          <w:color w:val="000000" w:themeColor="text1"/>
        </w:rPr>
        <w:t xml:space="preserve"> in the medium term despite </w:t>
      </w:r>
      <w:r w:rsidRPr="0024564D">
        <w:rPr>
          <w:b/>
          <w:bCs/>
          <w:color w:val="000000" w:themeColor="text1"/>
        </w:rPr>
        <w:t xml:space="preserve">a </w:t>
      </w:r>
      <w:r w:rsidRPr="472BFD07">
        <w:rPr>
          <w:b/>
          <w:bCs/>
          <w:color w:val="000000" w:themeColor="text1"/>
        </w:rPr>
        <w:t>spike in 2020.</w:t>
      </w:r>
      <w:r w:rsidRPr="0024564D">
        <w:rPr>
          <w:color w:val="000000" w:themeColor="text1"/>
        </w:rPr>
        <w:t xml:space="preserve"> Public debt-to-GDP in Georgia has remained stable over recent years, consistently below 45%. Although a sharp increase is expected in 2020</w:t>
      </w:r>
      <w:r>
        <w:rPr>
          <w:color w:val="000000" w:themeColor="text1"/>
        </w:rPr>
        <w:t>,</w:t>
      </w:r>
      <w:r w:rsidRPr="0024564D">
        <w:rPr>
          <w:rStyle w:val="FootnoteReference"/>
          <w:color w:val="000000" w:themeColor="text1"/>
        </w:rPr>
        <w:footnoteReference w:id="77"/>
      </w:r>
      <w:r w:rsidRPr="0024564D">
        <w:rPr>
          <w:color w:val="000000" w:themeColor="text1"/>
        </w:rPr>
        <w:t xml:space="preserve"> the IMF expects public debt to remain sustainable over the medium term. The increase in 2020 is </w:t>
      </w:r>
      <w:r>
        <w:rPr>
          <w:color w:val="000000" w:themeColor="text1"/>
        </w:rPr>
        <w:t>largely on account of the</w:t>
      </w:r>
      <w:r w:rsidRPr="0024564D">
        <w:rPr>
          <w:color w:val="000000" w:themeColor="text1"/>
        </w:rPr>
        <w:t xml:space="preserve"> fiscal stimulus package </w:t>
      </w:r>
      <w:r>
        <w:rPr>
          <w:color w:val="000000" w:themeColor="text1"/>
        </w:rPr>
        <w:t>to mitigate</w:t>
      </w:r>
      <w:r w:rsidRPr="0024564D">
        <w:rPr>
          <w:color w:val="000000" w:themeColor="text1"/>
        </w:rPr>
        <w:t xml:space="preserve"> the impact of COVID-19</w:t>
      </w:r>
      <w:r>
        <w:rPr>
          <w:color w:val="000000" w:themeColor="text1"/>
        </w:rPr>
        <w:t xml:space="preserve"> compounded by a </w:t>
      </w:r>
      <w:r w:rsidRPr="008E554C">
        <w:rPr>
          <w:color w:val="000000" w:themeColor="text1"/>
        </w:rPr>
        <w:t>decline of 23.3% in revenue collection against the original estimate for 2020</w:t>
      </w:r>
      <w:r w:rsidRPr="0024564D">
        <w:rPr>
          <w:color w:val="000000" w:themeColor="text1"/>
        </w:rPr>
        <w:t xml:space="preserve">. The </w:t>
      </w:r>
      <w:r>
        <w:rPr>
          <w:color w:val="000000" w:themeColor="text1"/>
        </w:rPr>
        <w:t xml:space="preserve">resulting gross financing requirement </w:t>
      </w:r>
      <w:r w:rsidRPr="0024564D">
        <w:rPr>
          <w:color w:val="000000" w:themeColor="text1"/>
        </w:rPr>
        <w:t xml:space="preserve">primarily </w:t>
      </w:r>
      <w:r>
        <w:rPr>
          <w:color w:val="000000" w:themeColor="text1"/>
        </w:rPr>
        <w:t>through</w:t>
      </w:r>
      <w:r w:rsidRPr="0024564D">
        <w:rPr>
          <w:color w:val="000000" w:themeColor="text1"/>
        </w:rPr>
        <w:t xml:space="preserve"> loan and grants from development partners and domestic borrowing to accommodate a higher </w:t>
      </w:r>
      <w:r>
        <w:rPr>
          <w:color w:val="000000" w:themeColor="text1"/>
        </w:rPr>
        <w:t xml:space="preserve">level of </w:t>
      </w:r>
      <w:r w:rsidRPr="0024564D">
        <w:rPr>
          <w:color w:val="000000" w:themeColor="text1"/>
        </w:rPr>
        <w:t>fiscal deficit to mitigate further downside risks to economic and social development. From 2021 onwards, the public debt-to-GDP ratio is projected to decline as one-off spending measures wane and economic growth is anticipated to recover</w:t>
      </w:r>
      <w:r>
        <w:rPr>
          <w:color w:val="000000" w:themeColor="text1"/>
        </w:rPr>
        <w:t>, returning to almost pre-crisis levels by 2025</w:t>
      </w:r>
      <w:r w:rsidRPr="0024564D">
        <w:rPr>
          <w:color w:val="000000" w:themeColor="text1"/>
        </w:rPr>
        <w:t>.</w:t>
      </w:r>
      <w:r w:rsidRPr="0024564D">
        <w:rPr>
          <w:rStyle w:val="FootnoteReference"/>
          <w:color w:val="000000" w:themeColor="text1"/>
        </w:rPr>
        <w:footnoteReference w:id="78"/>
      </w:r>
      <w:r w:rsidRPr="0024564D">
        <w:rPr>
          <w:color w:val="000000" w:themeColor="text1"/>
        </w:rPr>
        <w:t xml:space="preserve"> </w:t>
      </w:r>
      <w:bookmarkStart w:id="17" w:name="_Toc2503810"/>
      <w:bookmarkStart w:id="18" w:name="_Toc246237711"/>
    </w:p>
    <w:p w14:paraId="50523BC9" w14:textId="77777777" w:rsidR="001C2D72" w:rsidRPr="001C2D72" w:rsidRDefault="001C2D72" w:rsidP="001C2D72">
      <w:pPr>
        <w:pStyle w:val="ListParagraph"/>
        <w:ind w:left="0"/>
        <w:jc w:val="both"/>
        <w:rPr>
          <w:lang w:val="en-PH"/>
        </w:rPr>
      </w:pPr>
    </w:p>
    <w:p w14:paraId="3E59AE65" w14:textId="450ED6E0" w:rsidR="001C2D72" w:rsidRPr="0031791F" w:rsidRDefault="001C2D72" w:rsidP="002F569F">
      <w:pPr>
        <w:pStyle w:val="ListParagraph"/>
        <w:numPr>
          <w:ilvl w:val="0"/>
          <w:numId w:val="6"/>
        </w:numPr>
        <w:ind w:left="0" w:firstLine="0"/>
        <w:jc w:val="both"/>
        <w:rPr>
          <w:lang w:val="en-PH"/>
        </w:rPr>
      </w:pPr>
      <w:r w:rsidRPr="00C4760D">
        <w:rPr>
          <w:b/>
          <w:bCs/>
        </w:rPr>
        <w:t xml:space="preserve">Financial assistance from </w:t>
      </w:r>
      <w:r>
        <w:rPr>
          <w:b/>
          <w:bCs/>
        </w:rPr>
        <w:t xml:space="preserve">the </w:t>
      </w:r>
      <w:r w:rsidRPr="00C4760D">
        <w:rPr>
          <w:b/>
          <w:bCs/>
        </w:rPr>
        <w:t>ADB will not</w:t>
      </w:r>
      <w:r>
        <w:rPr>
          <w:b/>
          <w:bCs/>
        </w:rPr>
        <w:t xml:space="preserve"> aggravate Georgia’s debt vulnerabilities and fiscal risks </w:t>
      </w:r>
      <w:r w:rsidRPr="00C4760D">
        <w:rPr>
          <w:b/>
          <w:bCs/>
        </w:rPr>
        <w:t>in the medium term</w:t>
      </w:r>
      <w:r>
        <w:t>. While providing critical countercyclical support to the economy, the proposed ADB loans in the amount of $630 million represent just 8.3% percent of Georgia’s public debt stock of nearly $7.6 billion. These loans,</w:t>
      </w:r>
      <w:r w:rsidRPr="00DF310A">
        <w:t xml:space="preserve"> </w:t>
      </w:r>
      <w:r>
        <w:t xml:space="preserve">on broadly concessional terms, will not add significantly to the annual debt service obligations facing the Government. Additional loans approved or under proposal by the World Bank ($180 million), the International Monetary Fund ($200 million), the </w:t>
      </w:r>
      <w:proofErr w:type="spellStart"/>
      <w:r w:rsidRPr="003E18F0">
        <w:t>Agence</w:t>
      </w:r>
      <w:proofErr w:type="spellEnd"/>
      <w:r w:rsidRPr="003E18F0">
        <w:t xml:space="preserve"> </w:t>
      </w:r>
      <w:proofErr w:type="spellStart"/>
      <w:r w:rsidRPr="003E18F0">
        <w:t>Française</w:t>
      </w:r>
      <w:proofErr w:type="spellEnd"/>
      <w:r w:rsidRPr="003E18F0">
        <w:t xml:space="preserve"> de </w:t>
      </w:r>
      <w:proofErr w:type="spellStart"/>
      <w:r w:rsidRPr="003E18F0">
        <w:t>Développement</w:t>
      </w:r>
      <w:proofErr w:type="spellEnd"/>
      <w:r>
        <w:t xml:space="preserve"> ($205 million), the </w:t>
      </w:r>
      <w:proofErr w:type="spellStart"/>
      <w:r>
        <w:t>KfW</w:t>
      </w:r>
      <w:proofErr w:type="spellEnd"/>
      <w:r>
        <w:t xml:space="preserve"> ($100 million), the European Union ($95 million), and the Asian Infrastructure Investment Bank ($100 million) would jointly add another 11.6%  to the public debt stock. Together, lending from all these institutions would lift public debt initially to 72% of GDP in 2020, and to 58% of GDP by 2024</w:t>
      </w:r>
      <w:r w:rsidR="00113685">
        <w:t>.</w:t>
      </w:r>
    </w:p>
    <w:p w14:paraId="3957A107" w14:textId="77777777" w:rsidR="00F07BEE" w:rsidRPr="00F07BEE" w:rsidRDefault="00F07BEE" w:rsidP="00F07BEE">
      <w:pPr>
        <w:pStyle w:val="ListParagraph"/>
        <w:ind w:left="0"/>
        <w:jc w:val="both"/>
        <w:rPr>
          <w:lang w:val="en-PH"/>
        </w:rPr>
      </w:pPr>
    </w:p>
    <w:p w14:paraId="48BAFED2" w14:textId="3B6577D6" w:rsidR="009D384D" w:rsidRPr="009D384D" w:rsidRDefault="001156C6" w:rsidP="009D384D">
      <w:pPr>
        <w:pStyle w:val="Heading2"/>
        <w:ind w:left="0" w:firstLine="0"/>
        <w:rPr>
          <w:snapToGrid w:val="0"/>
        </w:rPr>
      </w:pPr>
      <w:bookmarkStart w:id="19" w:name="_Toc39790010"/>
      <w:r>
        <w:rPr>
          <w:snapToGrid w:val="0"/>
        </w:rPr>
        <w:t>Implementation Arrangements</w:t>
      </w:r>
      <w:bookmarkEnd w:id="19"/>
      <w:r w:rsidR="009D384D">
        <w:rPr>
          <w:snapToGrid w:val="0"/>
        </w:rPr>
        <w:t xml:space="preserve"> </w:t>
      </w:r>
    </w:p>
    <w:bookmarkEnd w:id="17"/>
    <w:bookmarkEnd w:id="18"/>
    <w:p w14:paraId="4B4A3C97" w14:textId="77777777" w:rsidR="006A6FBD" w:rsidRPr="00EE7959" w:rsidRDefault="006A6FBD" w:rsidP="00EE7959"/>
    <w:p w14:paraId="0A0967C4" w14:textId="1FFA8AA2" w:rsidR="005B5783" w:rsidRPr="00947F6F" w:rsidRDefault="005B5783" w:rsidP="00EA2F1B">
      <w:pPr>
        <w:pStyle w:val="ListParagraph"/>
        <w:numPr>
          <w:ilvl w:val="0"/>
          <w:numId w:val="6"/>
        </w:numPr>
        <w:ind w:left="0" w:firstLine="0"/>
        <w:jc w:val="both"/>
        <w:rPr>
          <w:lang w:val="en-PH"/>
        </w:rPr>
      </w:pPr>
      <w:r>
        <w:t xml:space="preserve">The Ministry of Finance (MOF) will be the executing agency for the Program. </w:t>
      </w:r>
      <w:r w:rsidRPr="00760A07">
        <w:t xml:space="preserve">A </w:t>
      </w:r>
      <w:r w:rsidR="008B61FB">
        <w:t>design and monitoring framework (DMF)</w:t>
      </w:r>
      <w:r w:rsidRPr="00760A07">
        <w:t xml:space="preserve"> </w:t>
      </w:r>
      <w:proofErr w:type="gramStart"/>
      <w:r w:rsidRPr="00760A07">
        <w:t>has</w:t>
      </w:r>
      <w:proofErr w:type="gramEnd"/>
      <w:r w:rsidRPr="00760A07">
        <w:t xml:space="preserve"> been agreed between the Government of Georgia and ADB to support effective implementation of </w:t>
      </w:r>
      <w:r w:rsidR="00BE10EF">
        <w:t xml:space="preserve">Georgia’s </w:t>
      </w:r>
      <w:r w:rsidRPr="00760A07">
        <w:t>COVID-19 response</w:t>
      </w:r>
      <w:r w:rsidR="00BE10EF">
        <w:t xml:space="preserve"> plan</w:t>
      </w:r>
      <w:r w:rsidRPr="00760A07">
        <w:t xml:space="preserve"> identified under the Program. ADB </w:t>
      </w:r>
      <w:r w:rsidR="007679D5">
        <w:t>has committed to establishing a Monitoring, Evaluation and Learning</w:t>
      </w:r>
      <w:r w:rsidR="00BE10EF">
        <w:t xml:space="preserve"> (MEL) Lab</w:t>
      </w:r>
      <w:r w:rsidR="007679D5">
        <w:t xml:space="preserve"> under its Technical Assi</w:t>
      </w:r>
      <w:r w:rsidR="0052141A">
        <w:t>stance project TRTA 52161-002</w:t>
      </w:r>
      <w:r w:rsidR="00BE10EF">
        <w:t>,</w:t>
      </w:r>
      <w:r w:rsidR="0052141A">
        <w:t xml:space="preserve"> which will work closely with</w:t>
      </w:r>
      <w:r w:rsidR="00BE10EF">
        <w:t xml:space="preserve"> MOF and other</w:t>
      </w:r>
      <w:r w:rsidR="0052141A">
        <w:t xml:space="preserve"> relevant government agencies responsible </w:t>
      </w:r>
      <w:r w:rsidR="003A6AAF">
        <w:t xml:space="preserve">for </w:t>
      </w:r>
      <w:r w:rsidR="003A6AAF" w:rsidRPr="00760A07">
        <w:t>implementation</w:t>
      </w:r>
      <w:r w:rsidR="0052141A">
        <w:t xml:space="preserve"> of the program and support with monitoring and reporting to ADB. The </w:t>
      </w:r>
      <w:r w:rsidR="00BE10EF">
        <w:t xml:space="preserve">MEL </w:t>
      </w:r>
      <w:r w:rsidR="00231143">
        <w:t>Lab will</w:t>
      </w:r>
      <w:r w:rsidR="00130428">
        <w:t xml:space="preserve"> liaise with the IACC and</w:t>
      </w:r>
      <w:r w:rsidR="00231143">
        <w:t xml:space="preserve"> optimize feedback loops throughout the implementation process to allow for timely learning and </w:t>
      </w:r>
      <w:r w:rsidR="00130428">
        <w:t>adaptive</w:t>
      </w:r>
      <w:r w:rsidR="00231143">
        <w:t xml:space="preserve"> </w:t>
      </w:r>
      <w:r w:rsidR="005C5767">
        <w:t>management to the implementing agencies</w:t>
      </w:r>
      <w:r w:rsidRPr="00760A07">
        <w:t xml:space="preserve">. </w:t>
      </w:r>
      <w:r w:rsidR="00130428">
        <w:t xml:space="preserve">ADB, through MOF and the MEL Lab, </w:t>
      </w:r>
      <w:r w:rsidR="00967CB9">
        <w:t>has committed to mobilizing existing TA resources to help the government respond to any emerging challenges in a flexible and agile manner</w:t>
      </w:r>
      <w:r>
        <w:t xml:space="preserve">. </w:t>
      </w:r>
      <w:r w:rsidR="00592D26">
        <w:t xml:space="preserve">At the same time, </w:t>
      </w:r>
      <w:r w:rsidR="00A71160">
        <w:t>ADB the ongoing TA</w:t>
      </w:r>
      <w:r>
        <w:t xml:space="preserve"> </w:t>
      </w:r>
      <w:r w:rsidR="00A71160">
        <w:t>project on</w:t>
      </w:r>
      <w:r w:rsidR="00592D26">
        <w:t xml:space="preserve"> fiscal </w:t>
      </w:r>
      <w:r w:rsidR="00592D26">
        <w:lastRenderedPageBreak/>
        <w:t>management reform</w:t>
      </w:r>
      <w:r w:rsidR="00A71160">
        <w:t>s</w:t>
      </w:r>
      <w:r w:rsidR="00592D26">
        <w:t xml:space="preserve"> </w:t>
      </w:r>
      <w:r>
        <w:t>will ensure policy dialogue with government on the evolution of the macroeconomic situation</w:t>
      </w:r>
      <w:r w:rsidR="00A71160">
        <w:t>, in close coordination with the IMF</w:t>
      </w:r>
      <w:r>
        <w:t xml:space="preserve">. MOF will monitor budget execution and flow of funds for countercyclical measures. The CARES Program will be disbursed in accordance with ADB’s Loan Disbursement Handbook (2017, as amended from time to time). The program implementation period is June 2020 to June 2021. </w:t>
      </w:r>
    </w:p>
    <w:p w14:paraId="6BEB01FF" w14:textId="77777777" w:rsidR="00741BBD" w:rsidRDefault="00741BBD" w:rsidP="00B56E32"/>
    <w:p w14:paraId="0F12879E" w14:textId="296F13B4" w:rsidR="001156C6" w:rsidRDefault="001156C6" w:rsidP="00145B7B">
      <w:pPr>
        <w:pStyle w:val="Heading1"/>
        <w:ind w:left="0" w:firstLine="0"/>
      </w:pPr>
      <w:bookmarkStart w:id="20" w:name="_Toc491179000"/>
      <w:bookmarkStart w:id="21" w:name="_Toc39790011"/>
      <w:bookmarkEnd w:id="20"/>
      <w:r w:rsidRPr="00333873">
        <w:t xml:space="preserve">Due </w:t>
      </w:r>
      <w:r w:rsidR="00333873" w:rsidRPr="00333873">
        <w:t>Diligence</w:t>
      </w:r>
      <w:bookmarkEnd w:id="21"/>
    </w:p>
    <w:p w14:paraId="67F69347" w14:textId="296F13B4" w:rsidR="00545C55" w:rsidRPr="00EE045F" w:rsidRDefault="00545C55" w:rsidP="001F12FC"/>
    <w:p w14:paraId="3BBD7459" w14:textId="1599A7D1" w:rsidR="0025262A" w:rsidRDefault="0025262A" w:rsidP="00B11502">
      <w:pPr>
        <w:pStyle w:val="Heading2"/>
        <w:keepNext w:val="0"/>
        <w:widowControl w:val="0"/>
        <w:ind w:left="0" w:firstLine="0"/>
        <w:rPr>
          <w:rFonts w:cs="Arial"/>
          <w:lang w:eastAsia="zh-CN"/>
        </w:rPr>
      </w:pPr>
      <w:bookmarkStart w:id="22" w:name="_Toc466544011"/>
      <w:bookmarkStart w:id="23" w:name="_Toc39790012"/>
      <w:r w:rsidRPr="00D7769D">
        <w:rPr>
          <w:rFonts w:cs="Arial"/>
          <w:lang w:eastAsia="zh-CN"/>
        </w:rPr>
        <w:t>Governance</w:t>
      </w:r>
      <w:bookmarkEnd w:id="22"/>
      <w:bookmarkEnd w:id="23"/>
    </w:p>
    <w:p w14:paraId="42C7B067" w14:textId="77777777" w:rsidR="00F37EA0" w:rsidRPr="00465877" w:rsidRDefault="00F37EA0" w:rsidP="00EE7959">
      <w:pPr>
        <w:rPr>
          <w:lang w:eastAsia="zh-CN"/>
        </w:rPr>
      </w:pPr>
    </w:p>
    <w:p w14:paraId="50E6CA44" w14:textId="1AD7CB9E" w:rsidR="00365AA3" w:rsidRDefault="003A6A08" w:rsidP="00A42AC7">
      <w:pPr>
        <w:pStyle w:val="ListParagraph"/>
        <w:numPr>
          <w:ilvl w:val="0"/>
          <w:numId w:val="6"/>
        </w:numPr>
        <w:ind w:left="0" w:firstLine="0"/>
        <w:jc w:val="both"/>
      </w:pPr>
      <w:r w:rsidRPr="003A6A08">
        <w:t xml:space="preserve">The </w:t>
      </w:r>
      <w:r w:rsidR="00C556E9">
        <w:t xml:space="preserve">PFM </w:t>
      </w:r>
      <w:r w:rsidR="00374B75">
        <w:t xml:space="preserve">systems have improved significantly in Georgia </w:t>
      </w:r>
      <w:r w:rsidR="00095FDF">
        <w:t xml:space="preserve">with the implementation of the PFM reform action plan, </w:t>
      </w:r>
      <w:r w:rsidR="00374B75">
        <w:t>minimizing the risks associated with poor financial management of this C</w:t>
      </w:r>
      <w:r w:rsidR="00966F51">
        <w:t>PRO</w:t>
      </w:r>
      <w:r w:rsidRPr="003A6A08">
        <w:t>.</w:t>
      </w:r>
      <w:r w:rsidR="00095FDF">
        <w:t xml:space="preserve"> According to the most recent PEFA (2018) Georgia has in place sounds systems for strategic budget planning, execution and </w:t>
      </w:r>
      <w:r w:rsidR="007904A2">
        <w:t>accounting and reporting</w:t>
      </w:r>
      <w:r w:rsidR="00095FDF">
        <w:t>.</w:t>
      </w:r>
      <w:r w:rsidR="006B3480">
        <w:rPr>
          <w:rStyle w:val="FootnoteReference"/>
        </w:rPr>
        <w:footnoteReference w:id="79"/>
      </w:r>
      <w:r w:rsidR="00095FDF">
        <w:t xml:space="preserve"> </w:t>
      </w:r>
      <w:r w:rsidR="00642574">
        <w:t xml:space="preserve">Notable improvements in fiscal discipline are reflected in a reduction of variance </w:t>
      </w:r>
      <w:r w:rsidR="00BB3C18">
        <w:t>of expenditure outturn when compared to the budget (decreased use of virements)</w:t>
      </w:r>
      <w:r w:rsidR="00EC2C6E">
        <w:t xml:space="preserve"> and</w:t>
      </w:r>
      <w:r w:rsidR="00BB3C18">
        <w:t xml:space="preserve"> robust execution rates for revenue and stronger oversight of aggregate fiscal r</w:t>
      </w:r>
      <w:r w:rsidR="00120A89">
        <w:t>i</w:t>
      </w:r>
      <w:r w:rsidR="00BB3C18">
        <w:t xml:space="preserve">sk from </w:t>
      </w:r>
      <w:r w:rsidR="008D7555">
        <w:t>SOEs</w:t>
      </w:r>
      <w:r w:rsidR="00BB3C18">
        <w:t xml:space="preserve"> and PPPs. Georgia has improved its strategic allocation of resources through its multi</w:t>
      </w:r>
      <w:r w:rsidR="006879AF">
        <w:t>-</w:t>
      </w:r>
      <w:r w:rsidR="00BB3C18">
        <w:t>year budgeting tool and preparation of costed sector strategies. Finally, Georgia has witnessed an increase in efficiency in the use of resources for service delivery</w:t>
      </w:r>
      <w:r w:rsidR="00987FDF">
        <w:t>,</w:t>
      </w:r>
      <w:r w:rsidR="00BB3C18">
        <w:t xml:space="preserve"> with increased effectiveness of payroll controls; internal audit; timelier and more regular reconciliation of accounts</w:t>
      </w:r>
      <w:r w:rsidR="00987FDF">
        <w:t>;</w:t>
      </w:r>
      <w:r w:rsidR="00BB3C18">
        <w:t xml:space="preserve"> and expansion of the scope and nature of follow-up audits. </w:t>
      </w:r>
    </w:p>
    <w:p w14:paraId="4A90BE23" w14:textId="77777777" w:rsidR="00DE7FCD" w:rsidRPr="00365AA3" w:rsidRDefault="00DE7FCD" w:rsidP="00DE7FCD">
      <w:pPr>
        <w:pStyle w:val="ListParagraph"/>
        <w:ind w:left="0"/>
        <w:jc w:val="both"/>
      </w:pPr>
    </w:p>
    <w:p w14:paraId="10398DE1" w14:textId="6EC4037D" w:rsidR="00A57B53" w:rsidRPr="00465877" w:rsidRDefault="0025262A" w:rsidP="0058497E">
      <w:pPr>
        <w:pStyle w:val="Heading2"/>
        <w:keepNext w:val="0"/>
        <w:widowControl w:val="0"/>
        <w:rPr>
          <w:lang w:eastAsia="zh-CN"/>
        </w:rPr>
      </w:pPr>
      <w:bookmarkStart w:id="24" w:name="_Toc39790013"/>
      <w:bookmarkStart w:id="25" w:name="_Toc466544012"/>
      <w:r w:rsidRPr="00D7769D">
        <w:rPr>
          <w:rFonts w:cs="Arial"/>
          <w:lang w:eastAsia="zh-CN"/>
        </w:rPr>
        <w:t xml:space="preserve">Poverty and </w:t>
      </w:r>
      <w:r w:rsidR="006568E2">
        <w:rPr>
          <w:rFonts w:cs="Arial"/>
          <w:lang w:eastAsia="zh-CN"/>
        </w:rPr>
        <w:t>Social</w:t>
      </w:r>
      <w:bookmarkEnd w:id="24"/>
      <w:r w:rsidR="006568E2">
        <w:rPr>
          <w:rFonts w:cs="Arial"/>
          <w:lang w:eastAsia="zh-CN"/>
        </w:rPr>
        <w:t xml:space="preserve"> </w:t>
      </w:r>
      <w:bookmarkEnd w:id="25"/>
    </w:p>
    <w:p w14:paraId="73C4DE45" w14:textId="3A3CD51C" w:rsidR="00011248" w:rsidRPr="0058497E" w:rsidRDefault="00011248" w:rsidP="00011248">
      <w:pPr>
        <w:pStyle w:val="CommentText"/>
        <w:rPr>
          <w:rFonts w:eastAsia="Calibri"/>
          <w:sz w:val="22"/>
        </w:rPr>
      </w:pPr>
    </w:p>
    <w:p w14:paraId="6F6352D2" w14:textId="3F8E6409" w:rsidR="0025262A" w:rsidRPr="003E0A10" w:rsidRDefault="00346217" w:rsidP="003E0A10">
      <w:pPr>
        <w:pStyle w:val="ListParagraph"/>
        <w:numPr>
          <w:ilvl w:val="0"/>
          <w:numId w:val="6"/>
        </w:numPr>
        <w:ind w:left="0" w:firstLine="0"/>
        <w:jc w:val="both"/>
        <w:rPr>
          <w:lang w:val="en-PH"/>
        </w:rPr>
      </w:pPr>
      <w:r w:rsidRPr="0058497E">
        <w:t>While absolute poverty ($1.9</w:t>
      </w:r>
      <w:r w:rsidR="00FE6DCE">
        <w:t xml:space="preserve"> per </w:t>
      </w:r>
      <w:r w:rsidRPr="0058497E">
        <w:t xml:space="preserve">day) has declined sharply from 12.2% in 2010 to 4.5% in 2018, the national poverty line indicates that one in </w:t>
      </w:r>
      <w:r w:rsidR="008C358E" w:rsidRPr="00C3663B">
        <w:t>five</w:t>
      </w:r>
      <w:r w:rsidRPr="0058497E">
        <w:t xml:space="preserve"> Georgians (20.1% in 2018) still live in poverty. </w:t>
      </w:r>
      <w:r w:rsidR="002E49BA">
        <w:t>Furthermore,</w:t>
      </w:r>
      <w:r w:rsidRPr="0058497E">
        <w:t xml:space="preserve"> </w:t>
      </w:r>
      <w:r w:rsidR="002E49BA">
        <w:t>i</w:t>
      </w:r>
      <w:r w:rsidR="00F43A4A" w:rsidRPr="00C3663B">
        <w:t>n 201</w:t>
      </w:r>
      <w:r w:rsidR="00213E8F">
        <w:t>8</w:t>
      </w:r>
      <w:r w:rsidR="00F43A4A" w:rsidRPr="00C3663B">
        <w:t>, t</w:t>
      </w:r>
      <w:r w:rsidRPr="0058497E">
        <w:t>he share of the population that is vulnerable</w:t>
      </w:r>
      <w:r w:rsidR="009E0291">
        <w:rPr>
          <w:rStyle w:val="FootnoteReference"/>
        </w:rPr>
        <w:footnoteReference w:id="80"/>
      </w:r>
      <w:r w:rsidR="00384B70">
        <w:t xml:space="preserve"> </w:t>
      </w:r>
      <w:r w:rsidR="00F43A4A" w:rsidRPr="00C3663B">
        <w:t>was estimated at</w:t>
      </w:r>
      <w:r w:rsidRPr="0058497E">
        <w:t xml:space="preserve"> 47% of the population.</w:t>
      </w:r>
      <w:r w:rsidR="00FB58A5">
        <w:rPr>
          <w:rStyle w:val="FootnoteReference"/>
        </w:rPr>
        <w:footnoteReference w:id="81"/>
      </w:r>
      <w:r w:rsidRPr="0058497E">
        <w:t xml:space="preserve"> </w:t>
      </w:r>
      <w:r w:rsidR="00D51D3B">
        <w:t>D</w:t>
      </w:r>
      <w:r w:rsidRPr="0058497E">
        <w:t>espite substantial gains made, households in Georgia remain highly vulnerable to shocks, including those associated with the outbreak of COVID-19</w:t>
      </w:r>
      <w:r w:rsidR="00926198" w:rsidRPr="00C3663B">
        <w:t xml:space="preserve">. </w:t>
      </w:r>
      <w:r w:rsidR="00941D45">
        <w:t xml:space="preserve">The current social welfare system in Georgia </w:t>
      </w:r>
      <w:r w:rsidR="005E5864">
        <w:t>covers a relatively high share of the population</w:t>
      </w:r>
      <w:r w:rsidR="00D20C44">
        <w:t xml:space="preserve"> but may not be </w:t>
      </w:r>
      <w:proofErr w:type="gramStart"/>
      <w:r w:rsidR="00D20C44">
        <w:t>sufficient</w:t>
      </w:r>
      <w:proofErr w:type="gramEnd"/>
      <w:r w:rsidR="00D20C44">
        <w:t xml:space="preserve"> to address the needs of its poorest citizens. While 24% of Georgians </w:t>
      </w:r>
      <w:r w:rsidR="00B21935">
        <w:t>are beneficiaries of at least one social assistance program</w:t>
      </w:r>
      <w:r w:rsidR="00871DE7">
        <w:t>—</w:t>
      </w:r>
      <w:r w:rsidR="0052048F">
        <w:t>with women constituting 64.9% of all recipients</w:t>
      </w:r>
      <w:r w:rsidR="00871DE7">
        <w:t>—</w:t>
      </w:r>
      <w:r w:rsidR="00D20C44">
        <w:t xml:space="preserve">only 11.7% </w:t>
      </w:r>
      <w:r w:rsidR="00B21935">
        <w:t>of Georgians receive a subsistence allowance under the TS</w:t>
      </w:r>
      <w:r w:rsidR="00187E87">
        <w:t>A, against a 20.1% of people living under the national poverty line.</w:t>
      </w:r>
      <w:r w:rsidR="0052048F">
        <w:t xml:space="preserve"> </w:t>
      </w:r>
      <w:r w:rsidR="00602A87">
        <w:t xml:space="preserve">That said, the high share of women beneficiaries of both the TSA (55%) and the pension fund (71%) suggest that women </w:t>
      </w:r>
      <w:r w:rsidR="00BC533D">
        <w:t>receive wider coverage</w:t>
      </w:r>
      <w:r w:rsidR="0077163C">
        <w:t xml:space="preserve"> from social welfare programs</w:t>
      </w:r>
      <w:r w:rsidR="003E0A10">
        <w:t xml:space="preserve"> compared to men.</w:t>
      </w:r>
      <w:r w:rsidR="0077163C">
        <w:t xml:space="preserve"> </w:t>
      </w:r>
      <w:r w:rsidR="005265D6">
        <w:t xml:space="preserve">As of 2018, the share of women living under the </w:t>
      </w:r>
      <w:r w:rsidR="002430BA">
        <w:t>relative</w:t>
      </w:r>
      <w:r w:rsidR="005265D6">
        <w:t xml:space="preserve"> poverty line</w:t>
      </w:r>
      <w:r w:rsidR="002430BA">
        <w:t xml:space="preserve"> in Georgia (20.5%) was only marginally lower to that of men’s (20.6%). </w:t>
      </w:r>
      <w:r w:rsidR="00816AB0">
        <w:t xml:space="preserve">Most </w:t>
      </w:r>
      <w:r w:rsidR="00A854F2" w:rsidRPr="0058497E">
        <w:t xml:space="preserve">of the 61,000 women who received social </w:t>
      </w:r>
      <w:r w:rsidR="00C20038">
        <w:t>benefit</w:t>
      </w:r>
      <w:r w:rsidR="00C20038" w:rsidRPr="0058497E">
        <w:t xml:space="preserve">s </w:t>
      </w:r>
      <w:r w:rsidR="00A854F2" w:rsidRPr="0058497E">
        <w:t xml:space="preserve">from government belonged to the </w:t>
      </w:r>
      <w:r w:rsidR="00882B85">
        <w:t xml:space="preserve">age group </w:t>
      </w:r>
      <w:r w:rsidR="00A854F2" w:rsidRPr="0058497E">
        <w:t>18-59 years.</w:t>
      </w:r>
      <w:r w:rsidR="007B3A25">
        <w:rPr>
          <w:rStyle w:val="FootnoteReference"/>
        </w:rPr>
        <w:footnoteReference w:id="82"/>
      </w:r>
      <w:r w:rsidR="00A854F2" w:rsidRPr="0058497E">
        <w:t xml:space="preserve"> Of the 61,000 women who received social </w:t>
      </w:r>
      <w:r w:rsidR="00DB14AE">
        <w:t>benefit</w:t>
      </w:r>
      <w:r w:rsidR="00DB14AE" w:rsidRPr="0058497E">
        <w:t>s</w:t>
      </w:r>
      <w:r w:rsidR="00A854F2" w:rsidRPr="0058497E">
        <w:t>, 81% received disability pension, while 18% received survivors’ pension, and 1% received state compensation.</w:t>
      </w:r>
      <w:r w:rsidR="00882B85">
        <w:rPr>
          <w:rStyle w:val="FootnoteReference"/>
        </w:rPr>
        <w:footnoteReference w:id="83"/>
      </w:r>
      <w:r w:rsidR="00A854F2" w:rsidRPr="0058497E">
        <w:t xml:space="preserve"> The </w:t>
      </w:r>
      <w:r w:rsidR="008340E4" w:rsidRPr="008340E4">
        <w:t>proposed CARES program</w:t>
      </w:r>
      <w:r w:rsidR="00A854F2" w:rsidRPr="0058497E">
        <w:t xml:space="preserve"> is categorized as </w:t>
      </w:r>
      <w:r w:rsidR="008340E4" w:rsidRPr="008340E4">
        <w:t xml:space="preserve">effective gender mainstreaming. The proposed DMF and </w:t>
      </w:r>
      <w:r w:rsidR="00A854F2" w:rsidRPr="0058497E">
        <w:t xml:space="preserve">Gender </w:t>
      </w:r>
      <w:r w:rsidR="008340E4" w:rsidRPr="008340E4">
        <w:t xml:space="preserve">Monitoring Matrix </w:t>
      </w:r>
      <w:r w:rsidR="00944596">
        <w:t>that were</w:t>
      </w:r>
      <w:r w:rsidR="008340E4" w:rsidRPr="008340E4">
        <w:t xml:space="preserve"> agreed with the authorities encourage a gender responsive approach in its Anti</w:t>
      </w:r>
      <w:r w:rsidR="00E338B0" w:rsidRPr="008340E4">
        <w:t>-</w:t>
      </w:r>
      <w:r w:rsidR="008340E4" w:rsidRPr="008340E4">
        <w:t>Crisis Plan</w:t>
      </w:r>
      <w:r w:rsidR="00944596">
        <w:t xml:space="preserve"> with</w:t>
      </w:r>
      <w:r w:rsidR="00A854F2" w:rsidRPr="0058497E">
        <w:t xml:space="preserve"> specific measures to protect the welfare and livelihoods of women. </w:t>
      </w:r>
      <w:bookmarkStart w:id="26" w:name="_Toc466544014"/>
    </w:p>
    <w:p w14:paraId="4927CF7C" w14:textId="77777777" w:rsidR="00926198" w:rsidRPr="00CE5CD5" w:rsidRDefault="00926198" w:rsidP="00C3663B">
      <w:pPr>
        <w:rPr>
          <w:lang w:eastAsia="ja-JP"/>
        </w:rPr>
      </w:pPr>
    </w:p>
    <w:p w14:paraId="6876A4C6" w14:textId="26F38220" w:rsidR="0025262A" w:rsidRDefault="0025262A" w:rsidP="0025262A">
      <w:pPr>
        <w:pStyle w:val="Heading2"/>
        <w:rPr>
          <w:rFonts w:eastAsia="MS Mincho" w:cs="Arial"/>
          <w:bCs/>
          <w:lang w:eastAsia="ja-JP"/>
        </w:rPr>
      </w:pPr>
      <w:bookmarkStart w:id="27" w:name="_Toc39790014"/>
      <w:r w:rsidRPr="00A259C5">
        <w:rPr>
          <w:rFonts w:eastAsia="MS Mincho" w:cs="Arial"/>
          <w:bCs/>
          <w:lang w:eastAsia="ja-JP"/>
        </w:rPr>
        <w:t>Safeguards</w:t>
      </w:r>
      <w:bookmarkEnd w:id="27"/>
    </w:p>
    <w:p w14:paraId="66D3D9C4" w14:textId="77777777" w:rsidR="006A6FBD" w:rsidRPr="00EE7959" w:rsidRDefault="006A6FBD" w:rsidP="00EE7959">
      <w:pPr>
        <w:rPr>
          <w:lang w:eastAsia="ja-JP"/>
        </w:rPr>
      </w:pPr>
    </w:p>
    <w:p w14:paraId="7C9EB320" w14:textId="02B54955" w:rsidR="0025262A" w:rsidRPr="00947F6F" w:rsidRDefault="0025262A" w:rsidP="00EA2F1B">
      <w:pPr>
        <w:pStyle w:val="ListParagraph"/>
        <w:numPr>
          <w:ilvl w:val="0"/>
          <w:numId w:val="6"/>
        </w:numPr>
        <w:ind w:left="0" w:firstLine="0"/>
        <w:jc w:val="both"/>
        <w:rPr>
          <w:lang w:val="en-PH"/>
        </w:rPr>
      </w:pPr>
      <w:r w:rsidRPr="00947F6F">
        <w:rPr>
          <w:rFonts w:cs="Arial"/>
        </w:rPr>
        <w:t xml:space="preserve">The loan is </w:t>
      </w:r>
      <w:r w:rsidRPr="7454D1C0">
        <w:rPr>
          <w:rFonts w:cs="Arial"/>
        </w:rPr>
        <w:t>categorized C for environment, involuntary resettlement, and indigenous peoples. The loan funds are not expected to cause land acquisition or adverse impacts to the environment or indigenous peoples. Investment activities prohibited under ADB’s Safeguard Policy Statement (2009) will be excluded.</w:t>
      </w:r>
    </w:p>
    <w:p w14:paraId="06E4FEAF" w14:textId="09C7DBBF" w:rsidR="00771D70" w:rsidRDefault="00771D70">
      <w:pPr>
        <w:rPr>
          <w:rFonts w:cs="Arial"/>
          <w:b/>
          <w:lang w:eastAsia="zh-CN"/>
        </w:rPr>
      </w:pPr>
    </w:p>
    <w:p w14:paraId="47552A06" w14:textId="5676B442" w:rsidR="0025262A" w:rsidRDefault="0025262A" w:rsidP="0025262A">
      <w:pPr>
        <w:pStyle w:val="Heading2"/>
        <w:keepNext w:val="0"/>
        <w:widowControl w:val="0"/>
        <w:rPr>
          <w:rFonts w:cs="Arial"/>
          <w:lang w:eastAsia="zh-CN"/>
        </w:rPr>
      </w:pPr>
      <w:bookmarkStart w:id="28" w:name="_Toc39790015"/>
      <w:r w:rsidRPr="00D7769D">
        <w:rPr>
          <w:rFonts w:cs="Arial"/>
          <w:lang w:eastAsia="zh-CN"/>
        </w:rPr>
        <w:t>Risks and Mitigating Measures</w:t>
      </w:r>
      <w:bookmarkEnd w:id="26"/>
      <w:bookmarkEnd w:id="28"/>
    </w:p>
    <w:p w14:paraId="161F90D6" w14:textId="77777777" w:rsidR="0063186D" w:rsidRPr="00465877" w:rsidRDefault="0063186D" w:rsidP="00EE7959">
      <w:pPr>
        <w:rPr>
          <w:lang w:eastAsia="zh-CN"/>
        </w:rPr>
      </w:pPr>
    </w:p>
    <w:p w14:paraId="315B0C44" w14:textId="12763152" w:rsidR="0025262A" w:rsidRPr="00947F6F" w:rsidRDefault="0025262A" w:rsidP="00EA2F1B">
      <w:pPr>
        <w:pStyle w:val="ListParagraph"/>
        <w:numPr>
          <w:ilvl w:val="0"/>
          <w:numId w:val="6"/>
        </w:numPr>
        <w:ind w:left="0" w:firstLine="0"/>
        <w:jc w:val="both"/>
        <w:rPr>
          <w:lang w:val="en-PH"/>
        </w:rPr>
      </w:pPr>
      <w:r w:rsidRPr="0025262A">
        <w:rPr>
          <w:rFonts w:cs="Arial"/>
        </w:rPr>
        <w:t xml:space="preserve">Major risks and mitigating measures are summarized in Table </w:t>
      </w:r>
      <w:r w:rsidR="00961FC7">
        <w:rPr>
          <w:rFonts w:cs="Arial"/>
        </w:rPr>
        <w:t>4</w:t>
      </w:r>
      <w:r w:rsidRPr="0025262A">
        <w:rPr>
          <w:rFonts w:cs="Arial"/>
        </w:rPr>
        <w:t xml:space="preserve"> and described in detail in the risk assessment and risk management plan.</w:t>
      </w:r>
      <w:r>
        <w:rPr>
          <w:rStyle w:val="FootnoteReference"/>
        </w:rPr>
        <w:footnoteReference w:id="84"/>
      </w:r>
    </w:p>
    <w:p w14:paraId="4D9F826A" w14:textId="77777777" w:rsidR="007A4CA1" w:rsidRDefault="007A4CA1" w:rsidP="0025262A">
      <w:pPr>
        <w:pStyle w:val="ListParagraph"/>
        <w:widowControl w:val="0"/>
        <w:spacing w:line="200" w:lineRule="exact"/>
        <w:ind w:left="0"/>
        <w:jc w:val="both"/>
        <w:rPr>
          <w:rFonts w:cs="Arial"/>
          <w:szCs w:val="22"/>
        </w:rPr>
      </w:pPr>
    </w:p>
    <w:p w14:paraId="48384C7B" w14:textId="61DC2E70" w:rsidR="0025262A" w:rsidRPr="00BD0B00" w:rsidRDefault="0025262A" w:rsidP="00F23A08">
      <w:pPr>
        <w:jc w:val="center"/>
        <w:rPr>
          <w:rFonts w:cs="Arial"/>
          <w:b/>
          <w:bCs/>
        </w:rPr>
      </w:pPr>
      <w:r w:rsidRPr="472BFD07">
        <w:rPr>
          <w:rFonts w:cs="Arial"/>
          <w:b/>
          <w:bCs/>
        </w:rPr>
        <w:t xml:space="preserve">Table </w:t>
      </w:r>
      <w:r w:rsidR="00961FC7">
        <w:rPr>
          <w:rFonts w:cs="Arial"/>
          <w:b/>
          <w:bCs/>
        </w:rPr>
        <w:t>4</w:t>
      </w:r>
      <w:r w:rsidRPr="472BFD07">
        <w:rPr>
          <w:rFonts w:cs="Arial"/>
          <w:b/>
          <w:bCs/>
        </w:rPr>
        <w:t>: Summary of Risks and Mitigating Measures</w:t>
      </w:r>
    </w:p>
    <w:tbl>
      <w:tblPr>
        <w:tblW w:w="9450" w:type="dxa"/>
        <w:jc w:val="center"/>
        <w:tblBorders>
          <w:top w:val="single" w:sz="4" w:space="0" w:color="auto"/>
          <w:bottom w:val="single" w:sz="4" w:space="0" w:color="auto"/>
        </w:tblBorders>
        <w:tblLayout w:type="fixed"/>
        <w:tblLook w:val="0000" w:firstRow="0" w:lastRow="0" w:firstColumn="0" w:lastColumn="0" w:noHBand="0" w:noVBand="0"/>
      </w:tblPr>
      <w:tblGrid>
        <w:gridCol w:w="3330"/>
        <w:gridCol w:w="6120"/>
      </w:tblGrid>
      <w:tr w:rsidR="00EF0711" w:rsidRPr="006700F2" w14:paraId="7A3DC9CE" w14:textId="77777777" w:rsidTr="00940C2B">
        <w:trPr>
          <w:cantSplit/>
          <w:tblHeader/>
          <w:jc w:val="center"/>
        </w:trPr>
        <w:tc>
          <w:tcPr>
            <w:tcW w:w="3330" w:type="dxa"/>
            <w:tcBorders>
              <w:top w:val="single" w:sz="4" w:space="0" w:color="auto"/>
              <w:bottom w:val="single" w:sz="4" w:space="0" w:color="auto"/>
            </w:tcBorders>
            <w:noWrap/>
          </w:tcPr>
          <w:p w14:paraId="32DAEB91" w14:textId="77777777" w:rsidR="0025262A" w:rsidRPr="001F12FC" w:rsidRDefault="0025262A" w:rsidP="008F7DBF">
            <w:pPr>
              <w:jc w:val="left"/>
              <w:rPr>
                <w:rFonts w:cs="Arial"/>
                <w:b/>
                <w:sz w:val="18"/>
                <w:szCs w:val="18"/>
              </w:rPr>
            </w:pPr>
            <w:r w:rsidRPr="001F12FC">
              <w:rPr>
                <w:rFonts w:cs="Arial"/>
                <w:b/>
                <w:sz w:val="18"/>
                <w:szCs w:val="18"/>
              </w:rPr>
              <w:t>Risks</w:t>
            </w:r>
          </w:p>
        </w:tc>
        <w:tc>
          <w:tcPr>
            <w:tcW w:w="6120" w:type="dxa"/>
            <w:tcBorders>
              <w:top w:val="single" w:sz="4" w:space="0" w:color="auto"/>
              <w:bottom w:val="single" w:sz="4" w:space="0" w:color="auto"/>
            </w:tcBorders>
            <w:noWrap/>
          </w:tcPr>
          <w:p w14:paraId="138BEE33" w14:textId="77777777" w:rsidR="0025262A" w:rsidRPr="001F12FC" w:rsidRDefault="0025262A" w:rsidP="00C20489">
            <w:pPr>
              <w:jc w:val="center"/>
              <w:rPr>
                <w:rFonts w:cs="Arial"/>
                <w:b/>
                <w:sz w:val="18"/>
                <w:szCs w:val="18"/>
              </w:rPr>
            </w:pPr>
            <w:r w:rsidRPr="001F12FC">
              <w:rPr>
                <w:rFonts w:cs="Arial"/>
                <w:b/>
                <w:sz w:val="18"/>
                <w:szCs w:val="18"/>
              </w:rPr>
              <w:t>Mitigating Measures</w:t>
            </w:r>
          </w:p>
        </w:tc>
      </w:tr>
      <w:tr w:rsidR="00EF0711" w:rsidRPr="006700F2" w14:paraId="46799C6E" w14:textId="77777777" w:rsidTr="00940C2B">
        <w:trPr>
          <w:cantSplit/>
          <w:jc w:val="center"/>
        </w:trPr>
        <w:tc>
          <w:tcPr>
            <w:tcW w:w="3330" w:type="dxa"/>
            <w:noWrap/>
          </w:tcPr>
          <w:p w14:paraId="2470DE48" w14:textId="1BECE6A2" w:rsidR="001C4554" w:rsidRPr="001C4554" w:rsidRDefault="0025262A" w:rsidP="00940C2B">
            <w:pPr>
              <w:jc w:val="left"/>
              <w:rPr>
                <w:sz w:val="18"/>
                <w:szCs w:val="18"/>
              </w:rPr>
            </w:pPr>
            <w:r w:rsidRPr="001F12FC">
              <w:rPr>
                <w:sz w:val="18"/>
                <w:szCs w:val="18"/>
              </w:rPr>
              <w:t>The government lacks the technical expertise for countercyclical expenditure package implementation, causing subdued benefits.</w:t>
            </w:r>
          </w:p>
          <w:p w14:paraId="1BAF60FE" w14:textId="77777777" w:rsidR="00AF2AB5" w:rsidRDefault="00AF2AB5" w:rsidP="00940C2B">
            <w:pPr>
              <w:jc w:val="left"/>
              <w:rPr>
                <w:sz w:val="18"/>
                <w:szCs w:val="18"/>
              </w:rPr>
            </w:pPr>
          </w:p>
          <w:p w14:paraId="73C27696" w14:textId="34EBCE1D" w:rsidR="00031977" w:rsidRDefault="003B69CA" w:rsidP="00940C2B">
            <w:pPr>
              <w:jc w:val="left"/>
              <w:rPr>
                <w:sz w:val="18"/>
                <w:szCs w:val="18"/>
              </w:rPr>
            </w:pPr>
            <w:r>
              <w:rPr>
                <w:sz w:val="18"/>
                <w:szCs w:val="18"/>
              </w:rPr>
              <w:t xml:space="preserve">Ineffective coordination across government agencies and development partners may negatively affect implementation of the </w:t>
            </w:r>
            <w:r w:rsidR="00562543">
              <w:rPr>
                <w:sz w:val="18"/>
                <w:szCs w:val="18"/>
              </w:rPr>
              <w:t>anti-crisis</w:t>
            </w:r>
            <w:r>
              <w:rPr>
                <w:sz w:val="18"/>
                <w:szCs w:val="18"/>
              </w:rPr>
              <w:t xml:space="preserve"> plan.</w:t>
            </w:r>
          </w:p>
          <w:p w14:paraId="0CA99BA3" w14:textId="090DEA3F" w:rsidR="0025262A" w:rsidRPr="001F12FC" w:rsidRDefault="0025262A" w:rsidP="00940C2B">
            <w:pPr>
              <w:jc w:val="left"/>
              <w:rPr>
                <w:rFonts w:cs="Arial"/>
                <w:sz w:val="18"/>
                <w:szCs w:val="18"/>
              </w:rPr>
            </w:pPr>
          </w:p>
        </w:tc>
        <w:tc>
          <w:tcPr>
            <w:tcW w:w="6120" w:type="dxa"/>
            <w:noWrap/>
          </w:tcPr>
          <w:p w14:paraId="5C85DE06" w14:textId="25D61BAD" w:rsidR="00B7451E" w:rsidRDefault="0025262A" w:rsidP="00940C2B">
            <w:pPr>
              <w:jc w:val="left"/>
              <w:rPr>
                <w:sz w:val="18"/>
                <w:szCs w:val="18"/>
              </w:rPr>
            </w:pPr>
            <w:r w:rsidRPr="001F12FC">
              <w:rPr>
                <w:sz w:val="18"/>
                <w:szCs w:val="18"/>
              </w:rPr>
              <w:t>Continuous technical and policy engagement by ADB and other development partners, including IMF, with the government</w:t>
            </w:r>
            <w:r w:rsidR="00B7451E">
              <w:rPr>
                <w:sz w:val="18"/>
                <w:szCs w:val="18"/>
              </w:rPr>
              <w:t>.</w:t>
            </w:r>
            <w:r w:rsidR="00AF2AB5">
              <w:rPr>
                <w:sz w:val="18"/>
                <w:szCs w:val="18"/>
              </w:rPr>
              <w:t xml:space="preserve"> ADB provides Technical Assistance under other programs which have been duly mobilized to support government throughout the implementation process. </w:t>
            </w:r>
          </w:p>
          <w:p w14:paraId="3EA933B0" w14:textId="3C37ABE8" w:rsidR="00031977" w:rsidRDefault="00031977" w:rsidP="00940C2B">
            <w:pPr>
              <w:jc w:val="left"/>
              <w:rPr>
                <w:sz w:val="18"/>
                <w:szCs w:val="18"/>
              </w:rPr>
            </w:pPr>
          </w:p>
          <w:p w14:paraId="61C46593" w14:textId="0AE173BC" w:rsidR="0025262A" w:rsidRPr="001F12FC" w:rsidRDefault="003B69CA" w:rsidP="00940C2B">
            <w:pPr>
              <w:jc w:val="left"/>
              <w:rPr>
                <w:rFonts w:cs="Arial"/>
                <w:sz w:val="18"/>
                <w:szCs w:val="18"/>
              </w:rPr>
            </w:pPr>
            <w:r>
              <w:rPr>
                <w:rFonts w:cs="Arial"/>
                <w:sz w:val="18"/>
                <w:szCs w:val="18"/>
              </w:rPr>
              <w:t xml:space="preserve">ADB actively engages with all donor organizations currently involved in the financing and implementation of the </w:t>
            </w:r>
            <w:r w:rsidR="00562543">
              <w:rPr>
                <w:sz w:val="18"/>
                <w:szCs w:val="18"/>
              </w:rPr>
              <w:t>anti-crisis</w:t>
            </w:r>
            <w:r>
              <w:rPr>
                <w:rFonts w:cs="Arial"/>
                <w:sz w:val="18"/>
                <w:szCs w:val="18"/>
              </w:rPr>
              <w:t xml:space="preserve"> plan on a regular basis. ADB, through MOF, will also liaise with the Inter-Agency Coordination Council for COVID-19 Response, an inter-ministerial </w:t>
            </w:r>
            <w:r w:rsidR="00AF2AB5">
              <w:rPr>
                <w:rFonts w:cs="Arial"/>
                <w:sz w:val="18"/>
                <w:szCs w:val="18"/>
              </w:rPr>
              <w:t>taskforce</w:t>
            </w:r>
            <w:r>
              <w:rPr>
                <w:rFonts w:cs="Arial"/>
                <w:sz w:val="18"/>
                <w:szCs w:val="18"/>
              </w:rPr>
              <w:t xml:space="preserve"> led by the Prime Minister which ensures close coordination between all Ministries, Departments and Agencies. </w:t>
            </w:r>
          </w:p>
        </w:tc>
      </w:tr>
    </w:tbl>
    <w:p w14:paraId="6C08B492" w14:textId="4095FE81" w:rsidR="00B05D0A" w:rsidRDefault="00441C1C" w:rsidP="0025262A">
      <w:pPr>
        <w:rPr>
          <w:rFonts w:cs="Arial"/>
          <w:sz w:val="18"/>
          <w:szCs w:val="18"/>
        </w:rPr>
      </w:pPr>
      <w:r>
        <w:rPr>
          <w:rFonts w:cs="Arial"/>
          <w:sz w:val="18"/>
          <w:szCs w:val="18"/>
        </w:rPr>
        <w:t xml:space="preserve">ADB = Asian Development Bank; COVID-19 = </w:t>
      </w:r>
      <w:r w:rsidRPr="00441C1C">
        <w:rPr>
          <w:rFonts w:cs="Arial"/>
          <w:sz w:val="18"/>
          <w:szCs w:val="18"/>
        </w:rPr>
        <w:t xml:space="preserve">Coronavirus </w:t>
      </w:r>
      <w:r w:rsidR="0019440D">
        <w:rPr>
          <w:rFonts w:cs="Arial"/>
          <w:sz w:val="18"/>
          <w:szCs w:val="18"/>
        </w:rPr>
        <w:t xml:space="preserve">disease </w:t>
      </w:r>
      <w:r w:rsidRPr="00441C1C">
        <w:rPr>
          <w:rFonts w:cs="Arial"/>
          <w:sz w:val="18"/>
          <w:szCs w:val="18"/>
        </w:rPr>
        <w:t>2019</w:t>
      </w:r>
      <w:r>
        <w:rPr>
          <w:rFonts w:cs="Arial"/>
          <w:sz w:val="18"/>
          <w:szCs w:val="18"/>
        </w:rPr>
        <w:t xml:space="preserve">; IMF = International Monetary Fund; </w:t>
      </w:r>
      <w:r w:rsidR="00834776">
        <w:rPr>
          <w:rFonts w:cs="Arial"/>
          <w:sz w:val="18"/>
          <w:szCs w:val="18"/>
        </w:rPr>
        <w:t xml:space="preserve">NPIs = </w:t>
      </w:r>
      <w:r w:rsidR="00834776" w:rsidRPr="00834776">
        <w:rPr>
          <w:rFonts w:cs="Arial"/>
          <w:sz w:val="18"/>
          <w:szCs w:val="18"/>
        </w:rPr>
        <w:t>non-pharmaceutical interventions</w:t>
      </w:r>
    </w:p>
    <w:p w14:paraId="4273149B" w14:textId="070F2B9C" w:rsidR="0025262A" w:rsidRDefault="0025262A" w:rsidP="0025262A">
      <w:pPr>
        <w:rPr>
          <w:rFonts w:cs="Arial"/>
          <w:sz w:val="18"/>
          <w:szCs w:val="18"/>
        </w:rPr>
      </w:pPr>
      <w:r w:rsidRPr="00D7769D">
        <w:rPr>
          <w:rFonts w:cs="Arial"/>
          <w:sz w:val="18"/>
          <w:szCs w:val="18"/>
        </w:rPr>
        <w:t>Source: Asian Development Bank</w:t>
      </w:r>
      <w:r>
        <w:rPr>
          <w:rFonts w:cs="Arial"/>
          <w:sz w:val="18"/>
          <w:szCs w:val="18"/>
        </w:rPr>
        <w:t>.</w:t>
      </w:r>
    </w:p>
    <w:p w14:paraId="07E65DC4" w14:textId="77777777" w:rsidR="00741BBD" w:rsidRDefault="00741BBD" w:rsidP="00F93BBA"/>
    <w:p w14:paraId="2D99A53F" w14:textId="3346C370" w:rsidR="00E003B3" w:rsidRDefault="00333873" w:rsidP="00145B7B">
      <w:pPr>
        <w:pStyle w:val="Heading1"/>
        <w:ind w:left="0" w:firstLine="0"/>
      </w:pPr>
      <w:bookmarkStart w:id="29" w:name="_Toc2503813"/>
      <w:bookmarkStart w:id="30" w:name="_Toc39790016"/>
      <w:r w:rsidRPr="00333873">
        <w:t>Assurances</w:t>
      </w:r>
      <w:bookmarkEnd w:id="29"/>
      <w:bookmarkEnd w:id="30"/>
    </w:p>
    <w:p w14:paraId="2C6D8FBB" w14:textId="77777777" w:rsidR="00E732B4" w:rsidRPr="00465877" w:rsidRDefault="00E732B4" w:rsidP="00EE7959"/>
    <w:p w14:paraId="5CFB46FF" w14:textId="002E1076" w:rsidR="00365AA3" w:rsidRPr="005072CD" w:rsidRDefault="00AC7660" w:rsidP="00465877">
      <w:pPr>
        <w:pStyle w:val="ListParagraph"/>
        <w:numPr>
          <w:ilvl w:val="0"/>
          <w:numId w:val="6"/>
        </w:numPr>
        <w:ind w:left="0" w:firstLine="0"/>
        <w:jc w:val="both"/>
        <w:rPr>
          <w:lang w:val="en-PH"/>
        </w:rPr>
      </w:pPr>
      <w:bookmarkStart w:id="31" w:name="_Toc251595598"/>
      <w:bookmarkStart w:id="32" w:name="_Toc2503817"/>
      <w:bookmarkStart w:id="33" w:name="_Toc246237726"/>
      <w:bookmarkEnd w:id="31"/>
      <w:r>
        <w:t>The government has assured ADB that implementation of the Program shall conform to all applicable ADB policies including those concerning anticorruption measures, safeguards, gender, procurement, consulting services, and disb</w:t>
      </w:r>
      <w:r w:rsidR="003F017E">
        <w:t>u</w:t>
      </w:r>
      <w:r>
        <w:t>rsement as described in detail in the loan documents.</w:t>
      </w:r>
    </w:p>
    <w:p w14:paraId="6FD01EEA" w14:textId="0F2745E0" w:rsidR="00B64EE0" w:rsidRDefault="00333873" w:rsidP="00145B7B">
      <w:pPr>
        <w:pStyle w:val="Heading1"/>
        <w:ind w:left="0" w:firstLine="0"/>
      </w:pPr>
      <w:bookmarkStart w:id="34" w:name="_Toc39790017"/>
      <w:r>
        <w:t>Recommendation</w:t>
      </w:r>
      <w:bookmarkEnd w:id="32"/>
      <w:bookmarkEnd w:id="33"/>
      <w:bookmarkEnd w:id="34"/>
    </w:p>
    <w:p w14:paraId="70B06C07" w14:textId="77777777" w:rsidR="00333873" w:rsidRPr="00D043F8" w:rsidRDefault="00333873" w:rsidP="00B56E32">
      <w:pPr>
        <w:keepNext/>
      </w:pPr>
    </w:p>
    <w:p w14:paraId="15C4DFB1" w14:textId="1F610B29" w:rsidR="0012115F" w:rsidRPr="00947F6F" w:rsidRDefault="0012115F" w:rsidP="00EA2F1B">
      <w:pPr>
        <w:pStyle w:val="ListParagraph"/>
        <w:numPr>
          <w:ilvl w:val="0"/>
          <w:numId w:val="6"/>
        </w:numPr>
        <w:ind w:left="0" w:firstLine="0"/>
        <w:jc w:val="both"/>
        <w:rPr>
          <w:lang w:val="en-PH"/>
        </w:rPr>
      </w:pPr>
      <w:r w:rsidRPr="7454D1C0">
        <w:rPr>
          <w:rFonts w:cs="Arial"/>
        </w:rPr>
        <w:t xml:space="preserve">I am satisfied that the </w:t>
      </w:r>
      <w:r w:rsidR="003F017E">
        <w:rPr>
          <w:rFonts w:cs="Arial"/>
        </w:rPr>
        <w:t>pro</w:t>
      </w:r>
      <w:r w:rsidRPr="00947F6F">
        <w:rPr>
          <w:rFonts w:cs="Arial"/>
        </w:rPr>
        <w:t>posed</w:t>
      </w:r>
      <w:r w:rsidRPr="7454D1C0">
        <w:rPr>
          <w:rFonts w:cs="Arial"/>
        </w:rPr>
        <w:t xml:space="preserve"> loan would comply with the Articles of Agreement of the Asian Development Bank (ADB) and recommend that the Board approve the loan of $</w:t>
      </w:r>
      <w:r w:rsidR="00303913" w:rsidRPr="7454D1C0">
        <w:rPr>
          <w:rFonts w:cs="Arial"/>
        </w:rPr>
        <w:t>100</w:t>
      </w:r>
      <w:r w:rsidRPr="7454D1C0">
        <w:rPr>
          <w:rFonts w:cs="Arial"/>
        </w:rPr>
        <w:t xml:space="preserve">,000,000 to </w:t>
      </w:r>
      <w:r w:rsidR="00303913" w:rsidRPr="7454D1C0">
        <w:rPr>
          <w:rFonts w:cs="Arial"/>
        </w:rPr>
        <w:t>Georgia</w:t>
      </w:r>
      <w:r w:rsidRPr="7454D1C0">
        <w:rPr>
          <w:rFonts w:cs="Arial"/>
        </w:rPr>
        <w:t xml:space="preserve"> for </w:t>
      </w:r>
      <w:r w:rsidR="00F32A62" w:rsidRPr="7454D1C0">
        <w:rPr>
          <w:rFonts w:cs="Arial"/>
        </w:rPr>
        <w:t>the</w:t>
      </w:r>
      <w:r w:rsidR="00F32A62">
        <w:t xml:space="preserve"> COVID-19 Active Response and Expenditure Support </w:t>
      </w:r>
      <w:r w:rsidRPr="7454D1C0">
        <w:rPr>
          <w:rFonts w:cs="Arial"/>
        </w:rPr>
        <w:t xml:space="preserve">Program, from ADB’s ordinary capital resources, with interest to be determined in accordance with ADB’s London interbank offered rate (LIBOR)-based lending facility; for a term of </w:t>
      </w:r>
      <w:r w:rsidR="000C6043">
        <w:rPr>
          <w:rFonts w:cs="Arial"/>
        </w:rPr>
        <w:t>10</w:t>
      </w:r>
      <w:r w:rsidR="000C6043" w:rsidRPr="7454D1C0">
        <w:rPr>
          <w:rFonts w:cs="Arial"/>
        </w:rPr>
        <w:t xml:space="preserve"> </w:t>
      </w:r>
      <w:r w:rsidRPr="7454D1C0">
        <w:rPr>
          <w:rFonts w:cs="Arial"/>
        </w:rPr>
        <w:t>years, including a grace period of 3 years; and such other terms and conditions as are substantially in accordance with those set forth in the draft loan agreement presented to the Board.</w:t>
      </w:r>
    </w:p>
    <w:p w14:paraId="47DF2C39" w14:textId="57B05A67" w:rsidR="00073A0C" w:rsidRDefault="00073A0C" w:rsidP="00EB37E2">
      <w:pPr>
        <w:rPr>
          <w:color w:val="FF0000"/>
          <w:sz w:val="18"/>
          <w:szCs w:val="18"/>
        </w:rPr>
      </w:pPr>
    </w:p>
    <w:p w14:paraId="2388F723" w14:textId="415D41CB" w:rsidR="00073A0C" w:rsidRDefault="00073A0C" w:rsidP="00EB37E2"/>
    <w:p w14:paraId="31B1E80E" w14:textId="77777777" w:rsidR="00940C2B" w:rsidRPr="00EB37E2" w:rsidRDefault="00940C2B" w:rsidP="00EB37E2"/>
    <w:p w14:paraId="320A6E82" w14:textId="571BDDF7" w:rsidR="001156C6" w:rsidRPr="006E7178" w:rsidRDefault="006E7178" w:rsidP="00F93BBA">
      <w:pPr>
        <w:ind w:left="6390"/>
        <w:jc w:val="left"/>
      </w:pPr>
      <w:proofErr w:type="spellStart"/>
      <w:r w:rsidRPr="006E7178">
        <w:t>Masatsug</w:t>
      </w:r>
      <w:r w:rsidR="00AF2B44">
        <w:t>u</w:t>
      </w:r>
      <w:proofErr w:type="spellEnd"/>
      <w:r w:rsidRPr="006E7178">
        <w:t xml:space="preserve"> Asakawa</w:t>
      </w:r>
    </w:p>
    <w:p w14:paraId="553E36E9" w14:textId="77777777" w:rsidR="001156C6" w:rsidRDefault="001156C6" w:rsidP="00F93BBA">
      <w:pPr>
        <w:ind w:left="6390"/>
        <w:jc w:val="left"/>
        <w:rPr>
          <w:color w:val="000000"/>
        </w:rPr>
      </w:pPr>
      <w:r>
        <w:rPr>
          <w:color w:val="000000"/>
        </w:rPr>
        <w:t>President</w:t>
      </w:r>
    </w:p>
    <w:p w14:paraId="3382FCE1" w14:textId="77777777" w:rsidR="00D03949" w:rsidRPr="000241B1" w:rsidRDefault="00D03949" w:rsidP="00F93BBA">
      <w:pPr>
        <w:jc w:val="left"/>
        <w:rPr>
          <w:color w:val="9BBB59" w:themeColor="accent3"/>
        </w:rPr>
        <w:sectPr w:rsidR="00D03949" w:rsidRPr="000241B1" w:rsidSect="00F65E50">
          <w:headerReference w:type="even" r:id="rId18"/>
          <w:headerReference w:type="default" r:id="rId19"/>
          <w:footerReference w:type="even" r:id="rId20"/>
          <w:footerReference w:type="default" r:id="rId21"/>
          <w:headerReference w:type="first" r:id="rId22"/>
          <w:footnotePr>
            <w:numRestart w:val="eachSect"/>
          </w:footnotePr>
          <w:endnotePr>
            <w:numRestart w:val="eachSect"/>
          </w:endnotePr>
          <w:pgSz w:w="12240" w:h="15840" w:code="1"/>
          <w:pgMar w:top="1440" w:right="1440" w:bottom="1440" w:left="1440" w:header="720" w:footer="720" w:gutter="0"/>
          <w:pgNumType w:start="1"/>
          <w:cols w:space="720"/>
          <w:titlePg/>
          <w:docGrid w:linePitch="299"/>
        </w:sectPr>
      </w:pPr>
    </w:p>
    <w:p w14:paraId="432C212D" w14:textId="263D03A3" w:rsidR="003D7875" w:rsidRPr="00D043F8" w:rsidRDefault="00C240FC" w:rsidP="00D043F8">
      <w:pPr>
        <w:pStyle w:val="Appendix"/>
      </w:pPr>
      <w:bookmarkStart w:id="35" w:name="_Toc39790018"/>
      <w:bookmarkStart w:id="36" w:name="_Toc246237727"/>
      <w:r w:rsidRPr="00D043F8">
        <w:lastRenderedPageBreak/>
        <w:t xml:space="preserve">Design </w:t>
      </w:r>
      <w:r>
        <w:t>a</w:t>
      </w:r>
      <w:r w:rsidRPr="00D043F8">
        <w:t>nd Monitoring Framework</w:t>
      </w:r>
      <w:bookmarkEnd w:id="35"/>
    </w:p>
    <w:p w14:paraId="4FC1DE63" w14:textId="77777777" w:rsidR="003D7875" w:rsidRPr="00C240FC" w:rsidRDefault="003D7875" w:rsidP="00D043F8">
      <w:pPr>
        <w:pStyle w:val="Appendix"/>
      </w:pPr>
    </w:p>
    <w:tbl>
      <w:tblPr>
        <w:tblW w:w="9805"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9805"/>
      </w:tblGrid>
      <w:tr w:rsidR="003D7875" w:rsidRPr="00E93C03" w14:paraId="43DC5605" w14:textId="77777777" w:rsidTr="00940C2B">
        <w:trPr>
          <w:jc w:val="center"/>
        </w:trPr>
        <w:tc>
          <w:tcPr>
            <w:tcW w:w="9805" w:type="dxa"/>
          </w:tcPr>
          <w:p w14:paraId="1A209F47" w14:textId="70CEF6A5" w:rsidR="003225F7" w:rsidRPr="00EE7959" w:rsidRDefault="002221A0" w:rsidP="003225F7">
            <w:pPr>
              <w:autoSpaceDE w:val="0"/>
              <w:autoSpaceDN w:val="0"/>
              <w:adjustRightInd w:val="0"/>
              <w:spacing w:after="120"/>
              <w:jc w:val="left"/>
              <w:rPr>
                <w:bCs/>
                <w:sz w:val="20"/>
                <w:szCs w:val="20"/>
              </w:rPr>
            </w:pPr>
            <w:r w:rsidRPr="00B56E32">
              <w:rPr>
                <w:rFonts w:cs="Arial"/>
                <w:b/>
                <w:bCs/>
                <w:sz w:val="20"/>
                <w:szCs w:val="20"/>
              </w:rPr>
              <w:t>Country’s Overarching Development Objective</w:t>
            </w:r>
          </w:p>
          <w:p w14:paraId="2BA714F9" w14:textId="6E201D7F" w:rsidR="003D7875" w:rsidRPr="008314DD" w:rsidRDefault="00F372AD" w:rsidP="00EE7959">
            <w:pPr>
              <w:autoSpaceDE w:val="0"/>
              <w:autoSpaceDN w:val="0"/>
              <w:adjustRightInd w:val="0"/>
              <w:spacing w:after="120"/>
              <w:rPr>
                <w:bCs/>
                <w:sz w:val="20"/>
                <w:szCs w:val="20"/>
                <w:vertAlign w:val="superscript"/>
              </w:rPr>
            </w:pPr>
            <w:r>
              <w:rPr>
                <w:bCs/>
                <w:sz w:val="20"/>
                <w:szCs w:val="20"/>
              </w:rPr>
              <w:t>Health and economic impacts of COVID-19 in Georgia are mitigated, protecting the most vulnerable</w:t>
            </w:r>
          </w:p>
        </w:tc>
      </w:tr>
    </w:tbl>
    <w:p w14:paraId="76DCD52E" w14:textId="77777777" w:rsidR="003D7875" w:rsidRPr="003D7875" w:rsidRDefault="003D7875" w:rsidP="003D7875">
      <w:pPr>
        <w:jc w:val="left"/>
        <w:rPr>
          <w:rFonts w:eastAsiaTheme="minorEastAsia"/>
          <w:b/>
          <w:sz w:val="2"/>
          <w:szCs w:val="2"/>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5"/>
        <w:gridCol w:w="3170"/>
        <w:gridCol w:w="2157"/>
        <w:gridCol w:w="2167"/>
      </w:tblGrid>
      <w:tr w:rsidR="00A87135" w:rsidRPr="00E93C03" w14:paraId="007CABD5" w14:textId="77777777" w:rsidTr="00054939">
        <w:trPr>
          <w:tblHeader/>
          <w:jc w:val="center"/>
        </w:trPr>
        <w:tc>
          <w:tcPr>
            <w:tcW w:w="2315" w:type="dxa"/>
            <w:tcBorders>
              <w:bottom w:val="single" w:sz="4" w:space="0" w:color="auto"/>
            </w:tcBorders>
            <w:vAlign w:val="bottom"/>
          </w:tcPr>
          <w:p w14:paraId="10EB3DF9" w14:textId="77777777" w:rsidR="00A87135" w:rsidRPr="00B56E32" w:rsidRDefault="00A87135" w:rsidP="00B56E32">
            <w:pPr>
              <w:jc w:val="left"/>
              <w:rPr>
                <w:rFonts w:eastAsiaTheme="minorEastAsia" w:cs="Arial"/>
                <w:sz w:val="20"/>
                <w:szCs w:val="20"/>
              </w:rPr>
            </w:pPr>
            <w:r w:rsidRPr="00B56E32">
              <w:rPr>
                <w:rFonts w:eastAsiaTheme="minorEastAsia" w:cs="Arial"/>
                <w:b/>
                <w:sz w:val="20"/>
                <w:szCs w:val="20"/>
              </w:rPr>
              <w:t>Results Chain</w:t>
            </w:r>
          </w:p>
        </w:tc>
        <w:tc>
          <w:tcPr>
            <w:tcW w:w="3170" w:type="dxa"/>
            <w:tcBorders>
              <w:bottom w:val="single" w:sz="4" w:space="0" w:color="auto"/>
            </w:tcBorders>
            <w:vAlign w:val="bottom"/>
          </w:tcPr>
          <w:p w14:paraId="2BB54177" w14:textId="77777777" w:rsidR="00A87135" w:rsidRPr="000D3736" w:rsidRDefault="00A87135" w:rsidP="0019273B">
            <w:pPr>
              <w:autoSpaceDE w:val="0"/>
              <w:autoSpaceDN w:val="0"/>
              <w:adjustRightInd w:val="0"/>
              <w:ind w:left="-99" w:right="-108"/>
              <w:jc w:val="center"/>
              <w:rPr>
                <w:rFonts w:eastAsiaTheme="minorEastAsia" w:cs="Arial"/>
                <w:sz w:val="20"/>
                <w:szCs w:val="20"/>
              </w:rPr>
            </w:pPr>
            <w:r w:rsidRPr="0019273B">
              <w:rPr>
                <w:rFonts w:eastAsiaTheme="minorEastAsia" w:cs="Arial"/>
                <w:b/>
                <w:sz w:val="20"/>
                <w:szCs w:val="20"/>
              </w:rPr>
              <w:t>Performance Indicators</w:t>
            </w:r>
            <w:r w:rsidR="00F244BA" w:rsidRPr="0019273B">
              <w:rPr>
                <w:rFonts w:eastAsiaTheme="minorEastAsia" w:cs="Arial"/>
                <w:b/>
                <w:sz w:val="20"/>
                <w:szCs w:val="20"/>
              </w:rPr>
              <w:t xml:space="preserve"> with Targets and Baselines</w:t>
            </w:r>
          </w:p>
        </w:tc>
        <w:tc>
          <w:tcPr>
            <w:tcW w:w="2157" w:type="dxa"/>
            <w:tcBorders>
              <w:bottom w:val="single" w:sz="4" w:space="0" w:color="auto"/>
            </w:tcBorders>
            <w:vAlign w:val="bottom"/>
          </w:tcPr>
          <w:p w14:paraId="639D3B0F" w14:textId="22651936" w:rsidR="00A87135" w:rsidRPr="00EE7959" w:rsidRDefault="00A87135" w:rsidP="00E44EB0">
            <w:pPr>
              <w:autoSpaceDE w:val="0"/>
              <w:autoSpaceDN w:val="0"/>
              <w:adjustRightInd w:val="0"/>
              <w:ind w:left="-108" w:right="-104"/>
              <w:jc w:val="center"/>
              <w:rPr>
                <w:rFonts w:eastAsiaTheme="minorEastAsia" w:cs="Arial"/>
                <w:b/>
                <w:sz w:val="20"/>
                <w:szCs w:val="20"/>
              </w:rPr>
            </w:pPr>
            <w:r w:rsidRPr="000D3736">
              <w:rPr>
                <w:rFonts w:eastAsiaTheme="minorEastAsia" w:cs="Arial"/>
                <w:b/>
                <w:sz w:val="20"/>
                <w:szCs w:val="20"/>
              </w:rPr>
              <w:t xml:space="preserve">Data Sources </w:t>
            </w:r>
            <w:r w:rsidR="00F244BA" w:rsidRPr="000D3736">
              <w:rPr>
                <w:rFonts w:eastAsiaTheme="minorEastAsia" w:cs="Arial"/>
                <w:b/>
                <w:sz w:val="20"/>
                <w:szCs w:val="20"/>
              </w:rPr>
              <w:t>and Reporting</w:t>
            </w:r>
            <w:r w:rsidR="000C2F60" w:rsidRPr="00EE7959">
              <w:rPr>
                <w:rFonts w:eastAsiaTheme="minorEastAsia" w:cs="Arial"/>
                <w:b/>
                <w:sz w:val="20"/>
                <w:szCs w:val="20"/>
              </w:rPr>
              <w:t xml:space="preserve"> Mechanisms</w:t>
            </w:r>
          </w:p>
        </w:tc>
        <w:tc>
          <w:tcPr>
            <w:tcW w:w="2167" w:type="dxa"/>
            <w:tcBorders>
              <w:bottom w:val="single" w:sz="4" w:space="0" w:color="auto"/>
            </w:tcBorders>
            <w:vAlign w:val="bottom"/>
          </w:tcPr>
          <w:p w14:paraId="21EF9D92" w14:textId="77777777" w:rsidR="00A87135" w:rsidRPr="00EE7959" w:rsidRDefault="00A87135">
            <w:pPr>
              <w:autoSpaceDE w:val="0"/>
              <w:autoSpaceDN w:val="0"/>
              <w:adjustRightInd w:val="0"/>
              <w:jc w:val="center"/>
              <w:rPr>
                <w:rFonts w:eastAsiaTheme="minorEastAsia" w:cs="Arial"/>
                <w:b/>
                <w:sz w:val="20"/>
                <w:szCs w:val="20"/>
              </w:rPr>
            </w:pPr>
            <w:r w:rsidRPr="00EE7959">
              <w:rPr>
                <w:rFonts w:eastAsiaTheme="minorEastAsia" w:cs="Arial"/>
                <w:b/>
                <w:sz w:val="20"/>
                <w:szCs w:val="20"/>
              </w:rPr>
              <w:t>Risks</w:t>
            </w:r>
          </w:p>
        </w:tc>
      </w:tr>
      <w:tr w:rsidR="00A87135" w:rsidRPr="00E93C03" w14:paraId="6493A21F" w14:textId="77777777" w:rsidTr="00054939">
        <w:trPr>
          <w:trHeight w:val="1277"/>
          <w:jc w:val="center"/>
        </w:trPr>
        <w:tc>
          <w:tcPr>
            <w:tcW w:w="2315" w:type="dxa"/>
            <w:tcBorders>
              <w:top w:val="single" w:sz="4" w:space="0" w:color="auto"/>
              <w:left w:val="single" w:sz="4" w:space="0" w:color="auto"/>
              <w:bottom w:val="single" w:sz="4" w:space="0" w:color="auto"/>
              <w:right w:val="single" w:sz="4" w:space="0" w:color="auto"/>
            </w:tcBorders>
          </w:tcPr>
          <w:p w14:paraId="1C12B98B" w14:textId="607FBBD5" w:rsidR="00A87135" w:rsidRPr="00B56E32" w:rsidRDefault="002221A0" w:rsidP="00B56E32">
            <w:pPr>
              <w:autoSpaceDE w:val="0"/>
              <w:autoSpaceDN w:val="0"/>
              <w:adjustRightInd w:val="0"/>
              <w:jc w:val="left"/>
              <w:rPr>
                <w:rFonts w:eastAsiaTheme="minorEastAsia" w:cs="Arial"/>
                <w:b/>
                <w:sz w:val="20"/>
                <w:szCs w:val="20"/>
              </w:rPr>
            </w:pPr>
            <w:r w:rsidRPr="00B56E32">
              <w:rPr>
                <w:rFonts w:eastAsiaTheme="minorEastAsia" w:cs="Arial"/>
                <w:b/>
                <w:sz w:val="20"/>
                <w:szCs w:val="20"/>
              </w:rPr>
              <w:t xml:space="preserve">Effect of the </w:t>
            </w:r>
            <w:r w:rsidR="004318E8">
              <w:rPr>
                <w:rFonts w:eastAsiaTheme="minorEastAsia" w:cs="Arial"/>
                <w:b/>
                <w:sz w:val="20"/>
                <w:szCs w:val="20"/>
              </w:rPr>
              <w:t>Program</w:t>
            </w:r>
          </w:p>
          <w:p w14:paraId="37DCA48C" w14:textId="0FFFE644" w:rsidR="00811359" w:rsidRPr="00811359" w:rsidRDefault="00811359" w:rsidP="00811359">
            <w:pPr>
              <w:autoSpaceDE w:val="0"/>
              <w:autoSpaceDN w:val="0"/>
              <w:adjustRightInd w:val="0"/>
              <w:jc w:val="left"/>
              <w:rPr>
                <w:rFonts w:eastAsiaTheme="minorEastAsia" w:cs="Arial"/>
                <w:bCs/>
                <w:sz w:val="20"/>
                <w:szCs w:val="20"/>
              </w:rPr>
            </w:pPr>
            <w:r w:rsidRPr="00811359">
              <w:rPr>
                <w:rFonts w:eastAsiaTheme="minorEastAsia" w:cs="Arial"/>
                <w:bCs/>
                <w:sz w:val="20"/>
                <w:szCs w:val="20"/>
              </w:rPr>
              <w:t xml:space="preserve">Rate of spread of the disease managed, burden </w:t>
            </w:r>
            <w:r w:rsidR="003E173E">
              <w:rPr>
                <w:rFonts w:eastAsiaTheme="minorEastAsia" w:cs="Arial"/>
                <w:bCs/>
                <w:sz w:val="20"/>
                <w:szCs w:val="20"/>
              </w:rPr>
              <w:t>affected private sector entities</w:t>
            </w:r>
            <w:r w:rsidRPr="00811359">
              <w:rPr>
                <w:rFonts w:eastAsiaTheme="minorEastAsia" w:cs="Arial"/>
                <w:bCs/>
                <w:sz w:val="20"/>
                <w:szCs w:val="20"/>
              </w:rPr>
              <w:t xml:space="preserve"> mitigated and</w:t>
            </w:r>
          </w:p>
          <w:p w14:paraId="49D8A9EC" w14:textId="26A150A6" w:rsidR="00C01661" w:rsidRPr="00EE7959" w:rsidRDefault="00811359" w:rsidP="00811359">
            <w:pPr>
              <w:autoSpaceDE w:val="0"/>
              <w:autoSpaceDN w:val="0"/>
              <w:adjustRightInd w:val="0"/>
              <w:jc w:val="left"/>
              <w:rPr>
                <w:rFonts w:eastAsiaTheme="minorEastAsia" w:cs="Arial"/>
                <w:bCs/>
                <w:sz w:val="20"/>
                <w:szCs w:val="20"/>
              </w:rPr>
            </w:pPr>
            <w:r w:rsidRPr="00811359">
              <w:rPr>
                <w:rFonts w:eastAsiaTheme="minorEastAsia" w:cs="Arial"/>
                <w:bCs/>
                <w:sz w:val="20"/>
                <w:szCs w:val="20"/>
              </w:rPr>
              <w:t xml:space="preserve">poverty </w:t>
            </w:r>
            <w:proofErr w:type="spellStart"/>
            <w:proofErr w:type="gramStart"/>
            <w:r w:rsidRPr="00811359">
              <w:rPr>
                <w:rFonts w:eastAsiaTheme="minorEastAsia" w:cs="Arial"/>
                <w:bCs/>
                <w:sz w:val="20"/>
                <w:szCs w:val="20"/>
              </w:rPr>
              <w:t>contained</w:t>
            </w:r>
            <w:r w:rsidR="00F70B44">
              <w:rPr>
                <w:rFonts w:eastAsiaTheme="minorEastAsia" w:cs="Arial"/>
                <w:bCs/>
                <w:sz w:val="20"/>
                <w:szCs w:val="20"/>
              </w:rPr>
              <w:t>.</w:t>
            </w:r>
            <w:r w:rsidR="00102C99" w:rsidRPr="00102C99">
              <w:rPr>
                <w:rFonts w:eastAsiaTheme="minorEastAsia" w:cs="Arial"/>
                <w:bCs/>
                <w:sz w:val="20"/>
                <w:szCs w:val="20"/>
                <w:vertAlign w:val="superscript"/>
              </w:rPr>
              <w:t>b</w:t>
            </w:r>
            <w:proofErr w:type="spellEnd"/>
            <w:proofErr w:type="gramEnd"/>
          </w:p>
        </w:tc>
        <w:tc>
          <w:tcPr>
            <w:tcW w:w="3170" w:type="dxa"/>
            <w:tcBorders>
              <w:top w:val="single" w:sz="4" w:space="0" w:color="auto"/>
              <w:left w:val="single" w:sz="4" w:space="0" w:color="auto"/>
              <w:bottom w:val="single" w:sz="4" w:space="0" w:color="auto"/>
              <w:right w:val="single" w:sz="4" w:space="0" w:color="auto"/>
            </w:tcBorders>
          </w:tcPr>
          <w:p w14:paraId="395B0B0C" w14:textId="2B67EF0C" w:rsidR="00DA2C2E" w:rsidRDefault="008B0CA7" w:rsidP="00EA2F1B">
            <w:pPr>
              <w:pStyle w:val="ListParagraph"/>
              <w:numPr>
                <w:ilvl w:val="0"/>
                <w:numId w:val="8"/>
              </w:numPr>
              <w:autoSpaceDE w:val="0"/>
              <w:autoSpaceDN w:val="0"/>
              <w:adjustRightInd w:val="0"/>
              <w:rPr>
                <w:rFonts w:eastAsiaTheme="minorEastAsia" w:cs="Arial"/>
                <w:sz w:val="20"/>
                <w:szCs w:val="20"/>
              </w:rPr>
            </w:pPr>
            <w:r>
              <w:rPr>
                <w:rFonts w:eastAsiaTheme="minorEastAsia" w:cs="Arial"/>
                <w:sz w:val="20"/>
                <w:szCs w:val="20"/>
              </w:rPr>
              <w:t>By December 2020, d</w:t>
            </w:r>
            <w:r w:rsidR="00DA2C2E">
              <w:rPr>
                <w:rFonts w:eastAsiaTheme="minorEastAsia" w:cs="Arial"/>
                <w:sz w:val="20"/>
                <w:szCs w:val="20"/>
              </w:rPr>
              <w:t xml:space="preserve">oubling </w:t>
            </w:r>
            <w:r w:rsidR="0014058B">
              <w:rPr>
                <w:rFonts w:eastAsiaTheme="minorEastAsia" w:cs="Arial"/>
                <w:sz w:val="20"/>
                <w:szCs w:val="20"/>
              </w:rPr>
              <w:t xml:space="preserve">rate of COVID-19 confirmed cases is reduced to </w:t>
            </w:r>
            <w:r w:rsidR="0049217A">
              <w:rPr>
                <w:rFonts w:eastAsiaTheme="minorEastAsia" w:cs="Arial"/>
                <w:sz w:val="20"/>
                <w:szCs w:val="20"/>
              </w:rPr>
              <w:t>20 days or more</w:t>
            </w:r>
            <w:r w:rsidR="00924B8B">
              <w:rPr>
                <w:rFonts w:eastAsiaTheme="minorEastAsia" w:cs="Arial"/>
                <w:sz w:val="20"/>
                <w:szCs w:val="20"/>
              </w:rPr>
              <w:t xml:space="preserve"> (</w:t>
            </w:r>
            <w:r w:rsidR="00441957">
              <w:rPr>
                <w:rFonts w:eastAsiaTheme="minorEastAsia" w:cs="Arial"/>
                <w:sz w:val="20"/>
                <w:szCs w:val="20"/>
              </w:rPr>
              <w:t xml:space="preserve">April 2020 </w:t>
            </w:r>
            <w:r w:rsidR="00924B8B">
              <w:rPr>
                <w:rFonts w:eastAsiaTheme="minorEastAsia" w:cs="Arial"/>
                <w:sz w:val="20"/>
                <w:szCs w:val="20"/>
              </w:rPr>
              <w:t>baseline: every 10</w:t>
            </w:r>
            <w:r w:rsidR="00BF3746">
              <w:rPr>
                <w:rFonts w:eastAsiaTheme="minorEastAsia" w:cs="Arial"/>
                <w:sz w:val="20"/>
                <w:szCs w:val="20"/>
              </w:rPr>
              <w:t>days)</w:t>
            </w:r>
          </w:p>
          <w:p w14:paraId="74D84CFE" w14:textId="77777777" w:rsidR="00145B7B" w:rsidRDefault="00145B7B" w:rsidP="00145B7B">
            <w:pPr>
              <w:pStyle w:val="ListParagraph"/>
              <w:autoSpaceDE w:val="0"/>
              <w:autoSpaceDN w:val="0"/>
              <w:adjustRightInd w:val="0"/>
              <w:ind w:left="0"/>
              <w:rPr>
                <w:rFonts w:eastAsiaTheme="minorEastAsia" w:cs="Arial"/>
                <w:sz w:val="20"/>
                <w:szCs w:val="20"/>
              </w:rPr>
            </w:pPr>
          </w:p>
          <w:p w14:paraId="1B921F0D" w14:textId="61EF453E" w:rsidR="002975D0" w:rsidRPr="005072CD" w:rsidRDefault="006652F1" w:rsidP="005072CD">
            <w:pPr>
              <w:pStyle w:val="ListParagraph"/>
              <w:numPr>
                <w:ilvl w:val="0"/>
                <w:numId w:val="8"/>
              </w:numPr>
              <w:autoSpaceDE w:val="0"/>
              <w:autoSpaceDN w:val="0"/>
              <w:adjustRightInd w:val="0"/>
              <w:rPr>
                <w:rFonts w:eastAsiaTheme="minorEastAsia" w:cs="Arial"/>
                <w:sz w:val="20"/>
                <w:szCs w:val="20"/>
              </w:rPr>
            </w:pPr>
            <w:r>
              <w:rPr>
                <w:rFonts w:eastAsiaTheme="minorEastAsia" w:cs="Arial"/>
                <w:sz w:val="20"/>
                <w:szCs w:val="20"/>
              </w:rPr>
              <w:t xml:space="preserve">By September 2020, </w:t>
            </w:r>
            <w:r w:rsidR="00C008DA">
              <w:rPr>
                <w:rFonts w:eastAsiaTheme="minorEastAsia" w:cs="Arial"/>
                <w:sz w:val="20"/>
                <w:szCs w:val="20"/>
              </w:rPr>
              <w:t xml:space="preserve">number of SME employees </w:t>
            </w:r>
            <w:r w:rsidR="00651FF2">
              <w:rPr>
                <w:rFonts w:eastAsiaTheme="minorEastAsia" w:cs="Arial"/>
                <w:sz w:val="20"/>
                <w:szCs w:val="20"/>
              </w:rPr>
              <w:t>is retained at</w:t>
            </w:r>
            <w:r w:rsidR="00C008DA">
              <w:rPr>
                <w:rFonts w:eastAsiaTheme="minorEastAsia" w:cs="Arial"/>
                <w:sz w:val="20"/>
                <w:szCs w:val="20"/>
              </w:rPr>
              <w:t xml:space="preserve"> </w:t>
            </w:r>
            <w:r w:rsidR="00F70696" w:rsidRPr="00B22E97">
              <w:rPr>
                <w:rFonts w:eastAsiaTheme="minorEastAsia" w:cs="Arial"/>
                <w:sz w:val="20"/>
                <w:szCs w:val="20"/>
              </w:rPr>
              <w:t>6</w:t>
            </w:r>
            <w:r w:rsidR="0097616E" w:rsidRPr="00B22E97">
              <w:rPr>
                <w:rFonts w:eastAsiaTheme="minorEastAsia" w:cs="Arial"/>
                <w:sz w:val="20"/>
                <w:szCs w:val="20"/>
              </w:rPr>
              <w:t>2</w:t>
            </w:r>
            <w:r w:rsidR="00F70696" w:rsidRPr="00B22E97">
              <w:rPr>
                <w:rFonts w:eastAsiaTheme="minorEastAsia" w:cs="Arial"/>
                <w:sz w:val="20"/>
                <w:szCs w:val="20"/>
              </w:rPr>
              <w:t>%</w:t>
            </w:r>
            <w:r w:rsidR="00F70696">
              <w:rPr>
                <w:rFonts w:eastAsiaTheme="minorEastAsia" w:cs="Arial"/>
                <w:sz w:val="20"/>
                <w:szCs w:val="20"/>
              </w:rPr>
              <w:t xml:space="preserve"> of total employees in the business sector, </w:t>
            </w:r>
            <w:r w:rsidR="006C72F8">
              <w:rPr>
                <w:rFonts w:eastAsiaTheme="minorEastAsia" w:cs="Arial"/>
                <w:sz w:val="20"/>
                <w:szCs w:val="20"/>
              </w:rPr>
              <w:t xml:space="preserve">40% of which are women. (April 2020 baseline: 67% of workers hired in the business sector are employed by SMEs, </w:t>
            </w:r>
            <w:r w:rsidR="00A10556">
              <w:rPr>
                <w:rFonts w:eastAsiaTheme="minorEastAsia" w:cs="Arial"/>
                <w:sz w:val="20"/>
                <w:szCs w:val="20"/>
              </w:rPr>
              <w:t>40% of which are women)</w:t>
            </w:r>
          </w:p>
          <w:p w14:paraId="1DEA8429" w14:textId="77777777" w:rsidR="00A10556" w:rsidRPr="00A10556" w:rsidRDefault="00A10556" w:rsidP="00A10556">
            <w:pPr>
              <w:pStyle w:val="ListParagraph"/>
              <w:rPr>
                <w:rFonts w:eastAsiaTheme="minorEastAsia" w:cs="Arial"/>
                <w:sz w:val="20"/>
                <w:szCs w:val="20"/>
              </w:rPr>
            </w:pPr>
          </w:p>
          <w:p w14:paraId="6FA97F27" w14:textId="7A273B23" w:rsidR="00924B8B" w:rsidRPr="008949ED" w:rsidRDefault="000B2ED2" w:rsidP="00EA2F1B">
            <w:pPr>
              <w:pStyle w:val="ListParagraph"/>
              <w:numPr>
                <w:ilvl w:val="0"/>
                <w:numId w:val="8"/>
              </w:numPr>
              <w:autoSpaceDE w:val="0"/>
              <w:autoSpaceDN w:val="0"/>
              <w:adjustRightInd w:val="0"/>
              <w:rPr>
                <w:rFonts w:eastAsiaTheme="minorEastAsia" w:cs="Arial"/>
                <w:sz w:val="20"/>
                <w:szCs w:val="20"/>
              </w:rPr>
            </w:pPr>
            <w:r>
              <w:rPr>
                <w:rFonts w:eastAsiaTheme="minorEastAsia" w:cs="Arial"/>
                <w:sz w:val="20"/>
                <w:szCs w:val="20"/>
              </w:rPr>
              <w:t xml:space="preserve">By </w:t>
            </w:r>
            <w:r w:rsidR="009269E8">
              <w:rPr>
                <w:rFonts w:eastAsiaTheme="minorEastAsia" w:cs="Arial"/>
                <w:sz w:val="20"/>
                <w:szCs w:val="20"/>
              </w:rPr>
              <w:t>December</w:t>
            </w:r>
            <w:r>
              <w:rPr>
                <w:rFonts w:eastAsiaTheme="minorEastAsia" w:cs="Arial"/>
                <w:sz w:val="20"/>
                <w:szCs w:val="20"/>
              </w:rPr>
              <w:t xml:space="preserve"> 2020, </w:t>
            </w:r>
            <w:r w:rsidR="00FA09CC">
              <w:rPr>
                <w:rFonts w:eastAsiaTheme="minorEastAsia" w:cs="Arial"/>
                <w:sz w:val="20"/>
                <w:szCs w:val="20"/>
              </w:rPr>
              <w:t>the number</w:t>
            </w:r>
            <w:r>
              <w:rPr>
                <w:rFonts w:eastAsiaTheme="minorEastAsia" w:cs="Arial"/>
                <w:sz w:val="20"/>
                <w:szCs w:val="20"/>
              </w:rPr>
              <w:t xml:space="preserve"> of individuals</w:t>
            </w:r>
            <w:r w:rsidR="00CB1A24">
              <w:rPr>
                <w:rFonts w:eastAsiaTheme="minorEastAsia" w:cs="Arial"/>
                <w:sz w:val="20"/>
                <w:szCs w:val="20"/>
              </w:rPr>
              <w:t xml:space="preserve"> </w:t>
            </w:r>
            <w:r w:rsidR="007E1842">
              <w:rPr>
                <w:rFonts w:eastAsiaTheme="minorEastAsia" w:cs="Arial"/>
                <w:sz w:val="20"/>
                <w:szCs w:val="20"/>
              </w:rPr>
              <w:t xml:space="preserve">scoring </w:t>
            </w:r>
            <w:r w:rsidR="0047405D">
              <w:rPr>
                <w:rFonts w:eastAsiaTheme="minorEastAsia" w:cs="Arial"/>
                <w:sz w:val="20"/>
                <w:szCs w:val="20"/>
              </w:rPr>
              <w:t xml:space="preserve">0-65,000 by TSA PMT is retained at </w:t>
            </w:r>
            <w:r w:rsidR="00B54326">
              <w:rPr>
                <w:rFonts w:eastAsiaTheme="minorEastAsia" w:cs="Arial"/>
                <w:sz w:val="20"/>
                <w:szCs w:val="20"/>
              </w:rPr>
              <w:t>1</w:t>
            </w:r>
            <w:r w:rsidR="00FA09CC">
              <w:rPr>
                <w:rFonts w:eastAsiaTheme="minorEastAsia" w:cs="Arial"/>
                <w:sz w:val="20"/>
                <w:szCs w:val="20"/>
              </w:rPr>
              <w:t>20</w:t>
            </w:r>
            <w:r>
              <w:rPr>
                <w:rFonts w:eastAsiaTheme="minorEastAsia" w:cs="Arial"/>
                <w:sz w:val="20"/>
                <w:szCs w:val="20"/>
              </w:rPr>
              <w:t>% of pre-crisis levels</w:t>
            </w:r>
            <w:r w:rsidR="00FA09CC">
              <w:rPr>
                <w:rFonts w:eastAsiaTheme="minorEastAsia" w:cs="Arial"/>
                <w:sz w:val="20"/>
                <w:szCs w:val="20"/>
              </w:rPr>
              <w:t>.</w:t>
            </w:r>
            <w:r w:rsidR="00E16765">
              <w:rPr>
                <w:rFonts w:eastAsiaTheme="minorEastAsia" w:cs="Arial"/>
                <w:sz w:val="20"/>
                <w:szCs w:val="20"/>
              </w:rPr>
              <w:t xml:space="preserve"> Share of women remains </w:t>
            </w:r>
            <w:r w:rsidR="00A607D1">
              <w:rPr>
                <w:rFonts w:eastAsiaTheme="minorEastAsia" w:cs="Arial"/>
                <w:sz w:val="20"/>
                <w:szCs w:val="20"/>
              </w:rPr>
              <w:t>at 55% of lower</w:t>
            </w:r>
            <w:r w:rsidR="00EB0B93">
              <w:rPr>
                <w:rFonts w:eastAsiaTheme="minorEastAsia" w:cs="Arial"/>
                <w:sz w:val="20"/>
                <w:szCs w:val="20"/>
              </w:rPr>
              <w:t xml:space="preserve"> (April 2020 baseline: 389,000 individuals </w:t>
            </w:r>
            <w:r w:rsidR="00E16765">
              <w:rPr>
                <w:rFonts w:eastAsiaTheme="minorEastAsia" w:cs="Arial"/>
                <w:sz w:val="20"/>
                <w:szCs w:val="20"/>
              </w:rPr>
              <w:t>score between 0-65,000 in TSA PMT, 55% of which are women)</w:t>
            </w:r>
          </w:p>
        </w:tc>
        <w:tc>
          <w:tcPr>
            <w:tcW w:w="2157" w:type="dxa"/>
            <w:tcBorders>
              <w:top w:val="single" w:sz="4" w:space="0" w:color="auto"/>
              <w:left w:val="single" w:sz="4" w:space="0" w:color="auto"/>
              <w:bottom w:val="single" w:sz="4" w:space="0" w:color="auto"/>
              <w:right w:val="single" w:sz="4" w:space="0" w:color="auto"/>
            </w:tcBorders>
          </w:tcPr>
          <w:p w14:paraId="20D77F85" w14:textId="4225C44D" w:rsidR="00367633" w:rsidRDefault="00A87135" w:rsidP="00EE7959">
            <w:pPr>
              <w:autoSpaceDE w:val="0"/>
              <w:autoSpaceDN w:val="0"/>
              <w:adjustRightInd w:val="0"/>
              <w:jc w:val="left"/>
              <w:rPr>
                <w:rFonts w:eastAsiaTheme="minorEastAsia" w:cs="Arial"/>
                <w:sz w:val="20"/>
                <w:szCs w:val="20"/>
              </w:rPr>
            </w:pPr>
            <w:r w:rsidRPr="00B56E32">
              <w:rPr>
                <w:rFonts w:eastAsiaTheme="minorEastAsia" w:cs="Arial"/>
                <w:sz w:val="20"/>
                <w:szCs w:val="20"/>
              </w:rPr>
              <w:t>a.</w:t>
            </w:r>
            <w:r w:rsidR="009922FB" w:rsidRPr="00B56E32">
              <w:rPr>
                <w:rFonts w:eastAsiaTheme="minorEastAsia" w:cs="Arial"/>
                <w:sz w:val="20"/>
                <w:szCs w:val="20"/>
              </w:rPr>
              <w:t xml:space="preserve"> </w:t>
            </w:r>
            <w:r w:rsidR="00EB4732">
              <w:rPr>
                <w:rFonts w:eastAsiaTheme="minorEastAsia" w:cs="Arial"/>
                <w:sz w:val="20"/>
                <w:szCs w:val="20"/>
              </w:rPr>
              <w:t xml:space="preserve">IACC </w:t>
            </w:r>
            <w:r w:rsidR="00367633">
              <w:rPr>
                <w:rFonts w:eastAsiaTheme="minorEastAsia" w:cs="Arial"/>
                <w:sz w:val="20"/>
                <w:szCs w:val="20"/>
              </w:rPr>
              <w:t xml:space="preserve">and </w:t>
            </w:r>
            <w:proofErr w:type="spellStart"/>
            <w:r w:rsidR="00367633">
              <w:rPr>
                <w:rFonts w:eastAsiaTheme="minorEastAsia" w:cs="Arial"/>
                <w:sz w:val="20"/>
                <w:szCs w:val="20"/>
              </w:rPr>
              <w:t>MoILHSA</w:t>
            </w:r>
            <w:proofErr w:type="spellEnd"/>
            <w:r w:rsidR="00367633">
              <w:rPr>
                <w:rFonts w:eastAsiaTheme="minorEastAsia" w:cs="Arial"/>
                <w:sz w:val="20"/>
                <w:szCs w:val="20"/>
              </w:rPr>
              <w:t xml:space="preserve"> </w:t>
            </w:r>
            <w:r w:rsidR="00EB4732">
              <w:rPr>
                <w:rFonts w:eastAsiaTheme="minorEastAsia" w:cs="Arial"/>
                <w:sz w:val="20"/>
                <w:szCs w:val="20"/>
              </w:rPr>
              <w:t>report</w:t>
            </w:r>
            <w:r w:rsidR="00367633">
              <w:rPr>
                <w:rFonts w:eastAsiaTheme="minorEastAsia" w:cs="Arial"/>
                <w:sz w:val="20"/>
                <w:szCs w:val="20"/>
              </w:rPr>
              <w:t xml:space="preserve"> submitted by September 2020</w:t>
            </w:r>
          </w:p>
          <w:p w14:paraId="2CEC4914" w14:textId="7DE41D10" w:rsidR="00145B7B" w:rsidRDefault="00145B7B" w:rsidP="00EE7959">
            <w:pPr>
              <w:autoSpaceDE w:val="0"/>
              <w:autoSpaceDN w:val="0"/>
              <w:adjustRightInd w:val="0"/>
              <w:jc w:val="left"/>
              <w:rPr>
                <w:rFonts w:eastAsiaTheme="minorEastAsia" w:cs="Arial"/>
                <w:sz w:val="20"/>
                <w:szCs w:val="20"/>
              </w:rPr>
            </w:pPr>
          </w:p>
          <w:p w14:paraId="333BE86C" w14:textId="77777777" w:rsidR="00145B7B" w:rsidRDefault="00145B7B" w:rsidP="00EE7959">
            <w:pPr>
              <w:autoSpaceDE w:val="0"/>
              <w:autoSpaceDN w:val="0"/>
              <w:adjustRightInd w:val="0"/>
              <w:jc w:val="left"/>
              <w:rPr>
                <w:rFonts w:eastAsiaTheme="minorEastAsia" w:cs="Arial"/>
                <w:sz w:val="20"/>
                <w:szCs w:val="20"/>
              </w:rPr>
            </w:pPr>
          </w:p>
          <w:p w14:paraId="44C91FE8" w14:textId="00A9FD7E" w:rsidR="00FE013E" w:rsidRDefault="00DE0413" w:rsidP="000D3736">
            <w:pPr>
              <w:autoSpaceDE w:val="0"/>
              <w:autoSpaceDN w:val="0"/>
              <w:adjustRightInd w:val="0"/>
              <w:jc w:val="left"/>
              <w:rPr>
                <w:rFonts w:eastAsiaTheme="minorEastAsia" w:cs="Arial"/>
                <w:sz w:val="20"/>
                <w:szCs w:val="20"/>
              </w:rPr>
            </w:pPr>
            <w:r>
              <w:rPr>
                <w:rFonts w:eastAsiaTheme="minorEastAsia" w:cs="Arial"/>
                <w:sz w:val="20"/>
                <w:szCs w:val="20"/>
              </w:rPr>
              <w:t xml:space="preserve">b. </w:t>
            </w:r>
            <w:r w:rsidR="008A6CE9">
              <w:rPr>
                <w:rFonts w:eastAsiaTheme="minorEastAsia" w:cs="Arial"/>
                <w:sz w:val="20"/>
                <w:szCs w:val="20"/>
              </w:rPr>
              <w:t xml:space="preserve">Report by the </w:t>
            </w:r>
            <w:r w:rsidR="002B5CF4">
              <w:rPr>
                <w:rFonts w:eastAsiaTheme="minorEastAsia" w:cs="Arial"/>
                <w:sz w:val="20"/>
                <w:szCs w:val="20"/>
              </w:rPr>
              <w:t>National Tax Registry</w:t>
            </w:r>
            <w:r w:rsidR="00367633">
              <w:rPr>
                <w:rFonts w:eastAsiaTheme="minorEastAsia" w:cs="Arial"/>
                <w:sz w:val="20"/>
                <w:szCs w:val="20"/>
              </w:rPr>
              <w:t xml:space="preserve"> submitted by September 2020.</w:t>
            </w:r>
          </w:p>
          <w:p w14:paraId="1813E31C" w14:textId="77777777" w:rsidR="00D44F46" w:rsidRDefault="00D44F46" w:rsidP="000D3736">
            <w:pPr>
              <w:autoSpaceDE w:val="0"/>
              <w:autoSpaceDN w:val="0"/>
              <w:adjustRightInd w:val="0"/>
              <w:jc w:val="left"/>
              <w:rPr>
                <w:rFonts w:eastAsiaTheme="minorEastAsia" w:cs="Arial"/>
                <w:sz w:val="20"/>
                <w:szCs w:val="20"/>
              </w:rPr>
            </w:pPr>
          </w:p>
          <w:p w14:paraId="665E33C2" w14:textId="77777777" w:rsidR="00D44F46" w:rsidRDefault="00D44F46" w:rsidP="000D3736">
            <w:pPr>
              <w:autoSpaceDE w:val="0"/>
              <w:autoSpaceDN w:val="0"/>
              <w:adjustRightInd w:val="0"/>
              <w:jc w:val="left"/>
              <w:rPr>
                <w:rFonts w:eastAsiaTheme="minorEastAsia" w:cs="Arial"/>
                <w:sz w:val="20"/>
                <w:szCs w:val="20"/>
              </w:rPr>
            </w:pPr>
          </w:p>
          <w:p w14:paraId="3124EB41" w14:textId="77777777" w:rsidR="00A607D1" w:rsidRDefault="00A607D1" w:rsidP="000D3736">
            <w:pPr>
              <w:autoSpaceDE w:val="0"/>
              <w:autoSpaceDN w:val="0"/>
              <w:adjustRightInd w:val="0"/>
              <w:jc w:val="left"/>
              <w:rPr>
                <w:rFonts w:eastAsiaTheme="minorEastAsia" w:cs="Arial"/>
                <w:sz w:val="20"/>
                <w:szCs w:val="20"/>
              </w:rPr>
            </w:pPr>
          </w:p>
          <w:p w14:paraId="31E377A6" w14:textId="0691DE8A" w:rsidR="00651FF2" w:rsidRDefault="00651FF2" w:rsidP="000D3736">
            <w:pPr>
              <w:autoSpaceDE w:val="0"/>
              <w:autoSpaceDN w:val="0"/>
              <w:adjustRightInd w:val="0"/>
              <w:jc w:val="left"/>
              <w:rPr>
                <w:rFonts w:eastAsiaTheme="minorEastAsia" w:cs="Arial"/>
                <w:sz w:val="20"/>
                <w:szCs w:val="20"/>
              </w:rPr>
            </w:pPr>
          </w:p>
          <w:p w14:paraId="2512F7F3" w14:textId="77777777" w:rsidR="00110946" w:rsidRDefault="00110946" w:rsidP="000D3736">
            <w:pPr>
              <w:autoSpaceDE w:val="0"/>
              <w:autoSpaceDN w:val="0"/>
              <w:adjustRightInd w:val="0"/>
              <w:jc w:val="left"/>
              <w:rPr>
                <w:rFonts w:eastAsiaTheme="minorEastAsia" w:cs="Arial"/>
                <w:sz w:val="20"/>
                <w:szCs w:val="20"/>
              </w:rPr>
            </w:pPr>
          </w:p>
          <w:p w14:paraId="28FF37E5" w14:textId="77777777" w:rsidR="00A607D1" w:rsidRDefault="00A607D1" w:rsidP="000D3736">
            <w:pPr>
              <w:autoSpaceDE w:val="0"/>
              <w:autoSpaceDN w:val="0"/>
              <w:adjustRightInd w:val="0"/>
              <w:jc w:val="left"/>
              <w:rPr>
                <w:rFonts w:eastAsiaTheme="minorEastAsia" w:cs="Arial"/>
                <w:sz w:val="20"/>
                <w:szCs w:val="20"/>
              </w:rPr>
            </w:pPr>
          </w:p>
          <w:p w14:paraId="359D50BF" w14:textId="7EB5CFE3" w:rsidR="008A6CE9" w:rsidRPr="00636C68" w:rsidRDefault="008A6CE9" w:rsidP="000D3736">
            <w:pPr>
              <w:autoSpaceDE w:val="0"/>
              <w:autoSpaceDN w:val="0"/>
              <w:adjustRightInd w:val="0"/>
              <w:jc w:val="left"/>
              <w:rPr>
                <w:rFonts w:eastAsiaTheme="minorEastAsia" w:cs="Arial"/>
                <w:color w:val="FF0000"/>
                <w:sz w:val="20"/>
                <w:szCs w:val="20"/>
              </w:rPr>
            </w:pPr>
            <w:r>
              <w:rPr>
                <w:rFonts w:eastAsiaTheme="minorEastAsia" w:cs="Arial"/>
                <w:sz w:val="20"/>
                <w:szCs w:val="20"/>
              </w:rPr>
              <w:t xml:space="preserve">c. </w:t>
            </w:r>
            <w:r w:rsidR="00A607D1">
              <w:rPr>
                <w:rFonts w:eastAsiaTheme="minorEastAsia" w:cs="Arial"/>
                <w:sz w:val="20"/>
                <w:szCs w:val="20"/>
              </w:rPr>
              <w:t xml:space="preserve">Report by </w:t>
            </w:r>
            <w:proofErr w:type="spellStart"/>
            <w:r w:rsidR="00A607D1">
              <w:rPr>
                <w:rFonts w:eastAsiaTheme="minorEastAsia" w:cs="Arial"/>
                <w:sz w:val="20"/>
                <w:szCs w:val="20"/>
              </w:rPr>
              <w:t>MoLHSA</w:t>
            </w:r>
            <w:proofErr w:type="spellEnd"/>
            <w:r w:rsidR="00367633">
              <w:rPr>
                <w:rFonts w:eastAsiaTheme="minorEastAsia" w:cs="Arial"/>
                <w:sz w:val="20"/>
                <w:szCs w:val="20"/>
              </w:rPr>
              <w:t xml:space="preserve"> submitted by September 2020.</w:t>
            </w:r>
          </w:p>
        </w:tc>
        <w:tc>
          <w:tcPr>
            <w:tcW w:w="2167" w:type="dxa"/>
            <w:tcBorders>
              <w:top w:val="single" w:sz="4" w:space="0" w:color="auto"/>
              <w:left w:val="single" w:sz="4" w:space="0" w:color="auto"/>
              <w:bottom w:val="single" w:sz="4" w:space="0" w:color="auto"/>
              <w:right w:val="single" w:sz="4" w:space="0" w:color="auto"/>
            </w:tcBorders>
          </w:tcPr>
          <w:p w14:paraId="59147D20" w14:textId="77777777" w:rsidR="008D595D" w:rsidRDefault="008D595D" w:rsidP="00B56E32">
            <w:pPr>
              <w:autoSpaceDE w:val="0"/>
              <w:autoSpaceDN w:val="0"/>
              <w:adjustRightInd w:val="0"/>
              <w:jc w:val="left"/>
              <w:rPr>
                <w:rFonts w:eastAsiaTheme="minorEastAsia" w:cs="Arial"/>
                <w:sz w:val="20"/>
                <w:szCs w:val="20"/>
              </w:rPr>
            </w:pPr>
          </w:p>
          <w:p w14:paraId="0B26A4F9" w14:textId="15C9930F" w:rsidR="00A87135" w:rsidRPr="0019273B" w:rsidRDefault="000959C6" w:rsidP="00B56E32">
            <w:pPr>
              <w:autoSpaceDE w:val="0"/>
              <w:autoSpaceDN w:val="0"/>
              <w:adjustRightInd w:val="0"/>
              <w:jc w:val="left"/>
              <w:rPr>
                <w:rFonts w:eastAsiaTheme="minorEastAsia" w:cs="Arial"/>
                <w:sz w:val="20"/>
                <w:szCs w:val="20"/>
              </w:rPr>
            </w:pPr>
            <w:r>
              <w:rPr>
                <w:rFonts w:eastAsiaTheme="minorEastAsia" w:cs="Arial"/>
                <w:sz w:val="20"/>
                <w:szCs w:val="20"/>
              </w:rPr>
              <w:t>COVID-19</w:t>
            </w:r>
            <w:r w:rsidRPr="00B56E32">
              <w:rPr>
                <w:rFonts w:eastAsiaTheme="minorEastAsia" w:cs="Arial"/>
                <w:sz w:val="20"/>
                <w:szCs w:val="20"/>
              </w:rPr>
              <w:t xml:space="preserve"> </w:t>
            </w:r>
            <w:r w:rsidR="00A1590F" w:rsidRPr="00B56E32">
              <w:rPr>
                <w:rFonts w:eastAsiaTheme="minorEastAsia" w:cs="Arial"/>
                <w:sz w:val="20"/>
                <w:szCs w:val="20"/>
              </w:rPr>
              <w:t xml:space="preserve">pandemic is not contained over 2-3 months leading to </w:t>
            </w:r>
            <w:r w:rsidR="00F70713">
              <w:rPr>
                <w:rFonts w:eastAsiaTheme="minorEastAsia" w:cs="Arial"/>
                <w:sz w:val="20"/>
                <w:szCs w:val="20"/>
              </w:rPr>
              <w:t>extension of State of Emergency and containment measures.</w:t>
            </w:r>
            <w:r w:rsidR="00A1590F" w:rsidRPr="00B56E32">
              <w:rPr>
                <w:rFonts w:eastAsiaTheme="minorEastAsia" w:cs="Arial"/>
                <w:sz w:val="20"/>
                <w:szCs w:val="20"/>
              </w:rPr>
              <w:t xml:space="preserve"> </w:t>
            </w:r>
          </w:p>
        </w:tc>
      </w:tr>
      <w:tr w:rsidR="006E7178" w:rsidRPr="00E93C03" w14:paraId="42582FA3" w14:textId="77777777" w:rsidTr="00054939">
        <w:trPr>
          <w:trHeight w:val="1088"/>
          <w:jc w:val="center"/>
        </w:trPr>
        <w:tc>
          <w:tcPr>
            <w:tcW w:w="2315" w:type="dxa"/>
            <w:tcBorders>
              <w:top w:val="single" w:sz="4" w:space="0" w:color="auto"/>
              <w:left w:val="single" w:sz="4" w:space="0" w:color="auto"/>
              <w:bottom w:val="single" w:sz="4" w:space="0" w:color="auto"/>
              <w:right w:val="single" w:sz="4" w:space="0" w:color="auto"/>
            </w:tcBorders>
          </w:tcPr>
          <w:p w14:paraId="3042341D" w14:textId="1DDDF4B5" w:rsidR="008314DD" w:rsidRPr="008314DD" w:rsidRDefault="008314DD" w:rsidP="00B56E32">
            <w:pPr>
              <w:autoSpaceDE w:val="0"/>
              <w:autoSpaceDN w:val="0"/>
              <w:adjustRightInd w:val="0"/>
              <w:jc w:val="left"/>
              <w:rPr>
                <w:rFonts w:eastAsiaTheme="minorEastAsia" w:cs="Arial"/>
                <w:b/>
                <w:bCs/>
                <w:sz w:val="20"/>
                <w:szCs w:val="20"/>
              </w:rPr>
            </w:pPr>
            <w:r w:rsidRPr="008314DD">
              <w:rPr>
                <w:rFonts w:eastAsiaTheme="minorEastAsia" w:cs="Arial"/>
                <w:b/>
                <w:bCs/>
                <w:sz w:val="20"/>
                <w:szCs w:val="20"/>
              </w:rPr>
              <w:t>Outputs</w:t>
            </w:r>
          </w:p>
          <w:p w14:paraId="18F8EF39" w14:textId="2A19A525" w:rsidR="006E7178" w:rsidRPr="00EE7959" w:rsidRDefault="006E7178" w:rsidP="00B56E32">
            <w:pPr>
              <w:autoSpaceDE w:val="0"/>
              <w:autoSpaceDN w:val="0"/>
              <w:adjustRightInd w:val="0"/>
              <w:jc w:val="left"/>
              <w:rPr>
                <w:rFonts w:eastAsiaTheme="minorEastAsia" w:cs="Arial"/>
                <w:b/>
                <w:sz w:val="20"/>
                <w:szCs w:val="20"/>
              </w:rPr>
            </w:pPr>
            <w:r w:rsidRPr="00B56E32">
              <w:rPr>
                <w:rFonts w:eastAsiaTheme="minorEastAsia" w:cs="Arial"/>
                <w:sz w:val="20"/>
                <w:szCs w:val="20"/>
              </w:rPr>
              <w:t xml:space="preserve">1. </w:t>
            </w:r>
            <w:r w:rsidR="00416742">
              <w:rPr>
                <w:rFonts w:eastAsiaTheme="minorEastAsia" w:cs="Arial"/>
                <w:sz w:val="20"/>
                <w:szCs w:val="20"/>
              </w:rPr>
              <w:t xml:space="preserve">Measures taken to combat the spread of </w:t>
            </w:r>
            <w:r w:rsidR="00A505DF" w:rsidRPr="0019273B">
              <w:rPr>
                <w:rFonts w:eastAsiaTheme="minorEastAsia" w:cs="Arial"/>
                <w:sz w:val="20"/>
                <w:szCs w:val="20"/>
              </w:rPr>
              <w:t>COVID-19</w:t>
            </w:r>
            <w:r w:rsidRPr="000D3736">
              <w:rPr>
                <w:rFonts w:eastAsiaTheme="minorEastAsia" w:cs="Arial"/>
                <w:sz w:val="20"/>
                <w:szCs w:val="20"/>
              </w:rPr>
              <w:t xml:space="preserve"> </w:t>
            </w:r>
            <w:r w:rsidR="00416742">
              <w:rPr>
                <w:rFonts w:eastAsiaTheme="minorEastAsia" w:cs="Arial"/>
                <w:sz w:val="20"/>
                <w:szCs w:val="20"/>
              </w:rPr>
              <w:t xml:space="preserve">and </w:t>
            </w:r>
            <w:r w:rsidR="00293E9E">
              <w:rPr>
                <w:rFonts w:eastAsiaTheme="minorEastAsia" w:cs="Arial"/>
                <w:sz w:val="20"/>
                <w:szCs w:val="20"/>
              </w:rPr>
              <w:t xml:space="preserve">health </w:t>
            </w:r>
            <w:r w:rsidR="00BA3D81">
              <w:rPr>
                <w:rFonts w:eastAsiaTheme="minorEastAsia" w:cs="Arial"/>
                <w:sz w:val="20"/>
                <w:szCs w:val="20"/>
              </w:rPr>
              <w:t xml:space="preserve">sector </w:t>
            </w:r>
            <w:r w:rsidR="00293E9E">
              <w:rPr>
                <w:rFonts w:eastAsiaTheme="minorEastAsia" w:cs="Arial"/>
                <w:sz w:val="20"/>
                <w:szCs w:val="20"/>
              </w:rPr>
              <w:t>response</w:t>
            </w:r>
            <w:r w:rsidR="00BA3D81">
              <w:rPr>
                <w:rFonts w:eastAsiaTheme="minorEastAsia" w:cs="Arial"/>
                <w:sz w:val="20"/>
                <w:szCs w:val="20"/>
              </w:rPr>
              <w:t xml:space="preserve"> capacity strengthened</w:t>
            </w:r>
            <w:r w:rsidR="005871D8">
              <w:rPr>
                <w:rFonts w:eastAsiaTheme="minorEastAsia" w:cs="Arial"/>
                <w:sz w:val="20"/>
                <w:szCs w:val="20"/>
              </w:rPr>
              <w:t>.</w:t>
            </w:r>
          </w:p>
        </w:tc>
        <w:tc>
          <w:tcPr>
            <w:tcW w:w="3170" w:type="dxa"/>
            <w:tcBorders>
              <w:top w:val="single" w:sz="4" w:space="0" w:color="auto"/>
              <w:left w:val="single" w:sz="4" w:space="0" w:color="auto"/>
              <w:bottom w:val="single" w:sz="4" w:space="0" w:color="auto"/>
              <w:right w:val="single" w:sz="4" w:space="0" w:color="auto"/>
            </w:tcBorders>
          </w:tcPr>
          <w:p w14:paraId="4AE89924" w14:textId="511FA9A2" w:rsidR="006E7178" w:rsidRPr="008314DD" w:rsidRDefault="00B50C0E" w:rsidP="001F12FC">
            <w:pPr>
              <w:autoSpaceDE w:val="0"/>
              <w:autoSpaceDN w:val="0"/>
              <w:adjustRightInd w:val="0"/>
              <w:jc w:val="left"/>
              <w:rPr>
                <w:rFonts w:eastAsiaTheme="minorEastAsia" w:cs="Arial"/>
                <w:b/>
                <w:sz w:val="20"/>
                <w:szCs w:val="20"/>
              </w:rPr>
            </w:pPr>
            <w:r>
              <w:rPr>
                <w:rFonts w:eastAsiaTheme="minorEastAsia" w:cs="Arial"/>
                <w:b/>
                <w:sz w:val="20"/>
                <w:szCs w:val="20"/>
              </w:rPr>
              <w:t xml:space="preserve">By </w:t>
            </w:r>
            <w:r w:rsidR="00760E18">
              <w:rPr>
                <w:rFonts w:eastAsiaTheme="minorEastAsia" w:cs="Arial"/>
                <w:b/>
                <w:sz w:val="20"/>
                <w:szCs w:val="20"/>
              </w:rPr>
              <w:t>December</w:t>
            </w:r>
            <w:r w:rsidR="008021BD">
              <w:rPr>
                <w:rFonts w:eastAsiaTheme="minorEastAsia" w:cs="Arial"/>
                <w:b/>
                <w:sz w:val="20"/>
                <w:szCs w:val="20"/>
              </w:rPr>
              <w:t xml:space="preserve"> 2020</w:t>
            </w:r>
            <w:r>
              <w:rPr>
                <w:rFonts w:eastAsiaTheme="minorEastAsia" w:cs="Arial"/>
                <w:b/>
                <w:sz w:val="20"/>
                <w:szCs w:val="20"/>
              </w:rPr>
              <w:t>:</w:t>
            </w:r>
          </w:p>
          <w:p w14:paraId="4AF53A42" w14:textId="7B42F2D8" w:rsidR="00F0727A" w:rsidRDefault="006E7178" w:rsidP="472BFD07">
            <w:pPr>
              <w:autoSpaceDE w:val="0"/>
              <w:autoSpaceDN w:val="0"/>
              <w:adjustRightInd w:val="0"/>
              <w:jc w:val="left"/>
              <w:rPr>
                <w:rFonts w:eastAsiaTheme="minorEastAsia" w:cs="Arial"/>
                <w:sz w:val="20"/>
                <w:szCs w:val="20"/>
              </w:rPr>
            </w:pPr>
            <w:r w:rsidRPr="00EE7959">
              <w:rPr>
                <w:rFonts w:eastAsiaTheme="minorEastAsia" w:cs="Arial"/>
                <w:sz w:val="20"/>
                <w:szCs w:val="20"/>
              </w:rPr>
              <w:t xml:space="preserve">1.1 </w:t>
            </w:r>
            <w:r w:rsidR="005F20B7">
              <w:rPr>
                <w:rFonts w:eastAsiaTheme="minorEastAsia" w:cs="Arial"/>
                <w:sz w:val="20"/>
                <w:szCs w:val="20"/>
              </w:rPr>
              <w:t>The g</w:t>
            </w:r>
            <w:r w:rsidRPr="00EE7959">
              <w:rPr>
                <w:rFonts w:eastAsiaTheme="minorEastAsia" w:cs="Arial"/>
                <w:sz w:val="20"/>
                <w:szCs w:val="20"/>
              </w:rPr>
              <w:t>overnment publishe</w:t>
            </w:r>
            <w:r w:rsidR="003F4D70">
              <w:rPr>
                <w:rFonts w:eastAsiaTheme="minorEastAsia" w:cs="Arial"/>
                <w:sz w:val="20"/>
                <w:szCs w:val="20"/>
              </w:rPr>
              <w:t>s</w:t>
            </w:r>
            <w:r w:rsidRPr="00EE7959">
              <w:rPr>
                <w:rFonts w:eastAsiaTheme="minorEastAsia" w:cs="Arial"/>
                <w:sz w:val="20"/>
                <w:szCs w:val="20"/>
              </w:rPr>
              <w:t xml:space="preserve"> </w:t>
            </w:r>
            <w:r w:rsidR="005C59A5">
              <w:rPr>
                <w:rFonts w:eastAsiaTheme="minorEastAsia" w:cs="Arial"/>
                <w:sz w:val="20"/>
                <w:szCs w:val="20"/>
              </w:rPr>
              <w:t xml:space="preserve"> a COVID-19 dedicated webpage (</w:t>
            </w:r>
            <w:hyperlink r:id="rId23">
              <w:r w:rsidR="005C59A5" w:rsidRPr="52AC8A21">
                <w:rPr>
                  <w:rStyle w:val="Hyperlink"/>
                  <w:rFonts w:eastAsiaTheme="minorEastAsia" w:cs="Arial"/>
                  <w:sz w:val="20"/>
                  <w:szCs w:val="20"/>
                </w:rPr>
                <w:t>www.stopcov.ge</w:t>
              </w:r>
            </w:hyperlink>
            <w:r w:rsidR="005C59A5">
              <w:rPr>
                <w:rFonts w:eastAsiaTheme="minorEastAsia" w:cs="Arial"/>
                <w:sz w:val="20"/>
                <w:szCs w:val="20"/>
              </w:rPr>
              <w:t xml:space="preserve">) which includes detailed information on the list </w:t>
            </w:r>
            <w:r w:rsidRPr="00EE7959">
              <w:rPr>
                <w:rFonts w:eastAsiaTheme="minorEastAsia" w:cs="Arial"/>
                <w:sz w:val="20"/>
                <w:szCs w:val="20"/>
              </w:rPr>
              <w:t xml:space="preserve">of NPIs </w:t>
            </w:r>
            <w:r w:rsidR="005C59A5">
              <w:rPr>
                <w:rFonts w:eastAsiaTheme="minorEastAsia" w:cs="Arial"/>
                <w:sz w:val="20"/>
                <w:szCs w:val="20"/>
              </w:rPr>
              <w:t>adopted by the government</w:t>
            </w:r>
            <w:r w:rsidR="00585101">
              <w:rPr>
                <w:rFonts w:eastAsiaTheme="minorEastAsia" w:cs="Arial"/>
                <w:sz w:val="20"/>
                <w:szCs w:val="20"/>
              </w:rPr>
              <w:t xml:space="preserve"> </w:t>
            </w:r>
            <w:r w:rsidR="24AE8D73" w:rsidRPr="52AC8A21">
              <w:rPr>
                <w:rFonts w:eastAsiaTheme="minorEastAsia" w:cs="Arial"/>
                <w:sz w:val="20"/>
                <w:szCs w:val="20"/>
              </w:rPr>
              <w:t xml:space="preserve">to </w:t>
            </w:r>
            <w:r w:rsidR="003B6815">
              <w:rPr>
                <w:rFonts w:eastAsiaTheme="minorEastAsia" w:cs="Arial"/>
                <w:sz w:val="20"/>
                <w:szCs w:val="20"/>
              </w:rPr>
              <w:t>keep the burden on the health system to a minimum</w:t>
            </w:r>
            <w:r w:rsidR="005C59A5">
              <w:rPr>
                <w:rFonts w:eastAsiaTheme="minorEastAsia" w:cs="Arial"/>
                <w:sz w:val="20"/>
                <w:szCs w:val="20"/>
              </w:rPr>
              <w:t xml:space="preserve">. </w:t>
            </w:r>
            <w:r w:rsidR="00F0727A">
              <w:rPr>
                <w:rFonts w:eastAsiaTheme="minorEastAsia" w:cs="Arial"/>
                <w:sz w:val="20"/>
                <w:szCs w:val="20"/>
              </w:rPr>
              <w:t xml:space="preserve">Website </w:t>
            </w:r>
            <w:r w:rsidR="00F0727A" w:rsidRPr="00363784">
              <w:rPr>
                <w:rFonts w:eastAsiaTheme="minorEastAsia" w:cs="Arial"/>
                <w:sz w:val="20"/>
                <w:szCs w:val="20"/>
              </w:rPr>
              <w:t xml:space="preserve">includes specific information regarding health protocols for pregnant persons, </w:t>
            </w:r>
            <w:r w:rsidR="00DB19A3" w:rsidRPr="00363784">
              <w:rPr>
                <w:rFonts w:eastAsiaTheme="minorEastAsia" w:cs="Arial"/>
                <w:sz w:val="20"/>
                <w:szCs w:val="20"/>
              </w:rPr>
              <w:t>childbirth</w:t>
            </w:r>
            <w:r w:rsidR="00F0727A" w:rsidRPr="00363784">
              <w:rPr>
                <w:rFonts w:eastAsiaTheme="minorEastAsia" w:cs="Arial"/>
                <w:sz w:val="20"/>
                <w:szCs w:val="20"/>
              </w:rPr>
              <w:t xml:space="preserve"> and breastfeeding during COVID-19.</w:t>
            </w:r>
            <w:r w:rsidR="00F0727A">
              <w:rPr>
                <w:rFonts w:eastAsiaTheme="minorEastAsia" w:cs="Arial"/>
                <w:sz w:val="20"/>
                <w:szCs w:val="20"/>
              </w:rPr>
              <w:t xml:space="preserve"> </w:t>
            </w:r>
            <w:r w:rsidR="00924B8B">
              <w:rPr>
                <w:rFonts w:eastAsiaTheme="minorEastAsia" w:cs="Arial"/>
                <w:sz w:val="20"/>
                <w:szCs w:val="20"/>
              </w:rPr>
              <w:t xml:space="preserve"> </w:t>
            </w:r>
            <w:r w:rsidR="005C59A5">
              <w:rPr>
                <w:rFonts w:eastAsiaTheme="minorEastAsia" w:cs="Arial"/>
                <w:sz w:val="20"/>
                <w:szCs w:val="20"/>
              </w:rPr>
              <w:t>(</w:t>
            </w:r>
            <w:r w:rsidR="000400D4">
              <w:rPr>
                <w:rFonts w:eastAsiaTheme="minorEastAsia" w:cs="Arial"/>
                <w:sz w:val="20"/>
                <w:szCs w:val="20"/>
              </w:rPr>
              <w:t>2019 b</w:t>
            </w:r>
            <w:r w:rsidR="005C59A5">
              <w:rPr>
                <w:rFonts w:eastAsiaTheme="minorEastAsia" w:cs="Arial"/>
                <w:sz w:val="20"/>
                <w:szCs w:val="20"/>
              </w:rPr>
              <w:t xml:space="preserve">aseline: </w:t>
            </w:r>
            <w:r w:rsidR="00924B8B">
              <w:rPr>
                <w:rFonts w:eastAsiaTheme="minorEastAsia" w:cs="Arial"/>
                <w:sz w:val="20"/>
                <w:szCs w:val="20"/>
              </w:rPr>
              <w:t>no containment measures in place before 2020</w:t>
            </w:r>
            <w:r w:rsidR="005C59A5">
              <w:rPr>
                <w:rFonts w:eastAsiaTheme="minorEastAsia" w:cs="Arial"/>
                <w:sz w:val="20"/>
                <w:szCs w:val="20"/>
              </w:rPr>
              <w:t>).</w:t>
            </w:r>
          </w:p>
          <w:p w14:paraId="38041842" w14:textId="77777777" w:rsidR="00F0727A" w:rsidRDefault="00F0727A" w:rsidP="472BFD07">
            <w:pPr>
              <w:autoSpaceDE w:val="0"/>
              <w:autoSpaceDN w:val="0"/>
              <w:adjustRightInd w:val="0"/>
              <w:jc w:val="left"/>
              <w:rPr>
                <w:rFonts w:eastAsiaTheme="minorEastAsia" w:cs="Arial"/>
                <w:sz w:val="20"/>
                <w:szCs w:val="20"/>
              </w:rPr>
            </w:pPr>
          </w:p>
          <w:p w14:paraId="2F4F1E67" w14:textId="77777777" w:rsidR="00E63693" w:rsidRDefault="00FB6D40" w:rsidP="001F12FC">
            <w:pPr>
              <w:autoSpaceDE w:val="0"/>
              <w:autoSpaceDN w:val="0"/>
              <w:adjustRightInd w:val="0"/>
              <w:jc w:val="left"/>
              <w:rPr>
                <w:rFonts w:eastAsiaTheme="minorEastAsia" w:cs="Arial"/>
                <w:sz w:val="20"/>
                <w:szCs w:val="20"/>
              </w:rPr>
            </w:pPr>
            <w:r>
              <w:rPr>
                <w:rFonts w:eastAsiaTheme="minorEastAsia" w:cs="Arial"/>
                <w:sz w:val="20"/>
                <w:szCs w:val="20"/>
              </w:rPr>
              <w:t>1.</w:t>
            </w:r>
            <w:r w:rsidR="005E6E19">
              <w:rPr>
                <w:rFonts w:eastAsiaTheme="minorEastAsia" w:cs="Arial"/>
                <w:sz w:val="20"/>
                <w:szCs w:val="20"/>
              </w:rPr>
              <w:t>2</w:t>
            </w:r>
            <w:r>
              <w:rPr>
                <w:rFonts w:eastAsiaTheme="minorEastAsia" w:cs="Arial"/>
                <w:sz w:val="20"/>
                <w:szCs w:val="20"/>
              </w:rPr>
              <w:t xml:space="preserve"> </w:t>
            </w:r>
            <w:r w:rsidR="005C59A5">
              <w:rPr>
                <w:rFonts w:eastAsiaTheme="minorEastAsia" w:cs="Arial"/>
                <w:sz w:val="20"/>
                <w:szCs w:val="20"/>
              </w:rPr>
              <w:t xml:space="preserve">COVID-19 related </w:t>
            </w:r>
            <w:r w:rsidR="00D0787F" w:rsidRPr="00D0787F">
              <w:rPr>
                <w:rFonts w:eastAsiaTheme="minorEastAsia" w:cs="Arial"/>
                <w:sz w:val="20"/>
                <w:szCs w:val="20"/>
              </w:rPr>
              <w:t>diagnosis and treatment costs</w:t>
            </w:r>
            <w:r w:rsidR="005C59A5">
              <w:rPr>
                <w:rFonts w:eastAsiaTheme="minorEastAsia" w:cs="Arial"/>
                <w:sz w:val="20"/>
                <w:szCs w:val="20"/>
              </w:rPr>
              <w:t xml:space="preserve"> are provided free of charge for people living below the official poverty line to avoid out of pocket payments related to COVID-19 (</w:t>
            </w:r>
            <w:r w:rsidR="002E78B3">
              <w:rPr>
                <w:rFonts w:eastAsiaTheme="minorEastAsia" w:cs="Arial"/>
                <w:sz w:val="20"/>
                <w:szCs w:val="20"/>
              </w:rPr>
              <w:t>B</w:t>
            </w:r>
            <w:r w:rsidR="005C59A5">
              <w:rPr>
                <w:rFonts w:eastAsiaTheme="minorEastAsia" w:cs="Arial"/>
                <w:sz w:val="20"/>
                <w:szCs w:val="20"/>
              </w:rPr>
              <w:t>aseline</w:t>
            </w:r>
            <w:r w:rsidR="002E78B3">
              <w:rPr>
                <w:rFonts w:eastAsiaTheme="minorEastAsia" w:cs="Arial"/>
                <w:sz w:val="20"/>
                <w:szCs w:val="20"/>
              </w:rPr>
              <w:t>:</w:t>
            </w:r>
            <w:r w:rsidR="005C59A5">
              <w:rPr>
                <w:rFonts w:eastAsiaTheme="minorEastAsia" w:cs="Arial"/>
                <w:sz w:val="20"/>
                <w:szCs w:val="20"/>
              </w:rPr>
              <w:t xml:space="preserve"> </w:t>
            </w:r>
            <w:r w:rsidR="00924B8B">
              <w:rPr>
                <w:rFonts w:eastAsiaTheme="minorEastAsia" w:cs="Arial"/>
                <w:sz w:val="20"/>
                <w:szCs w:val="20"/>
              </w:rPr>
              <w:t>no COVID-19 cases before 2020</w:t>
            </w:r>
            <w:r w:rsidR="005C59A5">
              <w:rPr>
                <w:rFonts w:eastAsiaTheme="minorEastAsia" w:cs="Arial"/>
                <w:sz w:val="20"/>
                <w:szCs w:val="20"/>
              </w:rPr>
              <w:t xml:space="preserve">) </w:t>
            </w:r>
          </w:p>
          <w:p w14:paraId="16021977" w14:textId="77777777" w:rsidR="00E63693" w:rsidRDefault="00E63693" w:rsidP="001F12FC">
            <w:pPr>
              <w:autoSpaceDE w:val="0"/>
              <w:autoSpaceDN w:val="0"/>
              <w:adjustRightInd w:val="0"/>
              <w:jc w:val="left"/>
              <w:rPr>
                <w:rFonts w:eastAsiaTheme="minorEastAsia" w:cs="Arial"/>
                <w:sz w:val="20"/>
                <w:szCs w:val="20"/>
              </w:rPr>
            </w:pPr>
          </w:p>
          <w:p w14:paraId="20FE1F46" w14:textId="01194D3C" w:rsidR="00E63693" w:rsidRPr="00EE7959" w:rsidRDefault="00E63693" w:rsidP="001F12FC">
            <w:pPr>
              <w:autoSpaceDE w:val="0"/>
              <w:autoSpaceDN w:val="0"/>
              <w:adjustRightInd w:val="0"/>
              <w:jc w:val="left"/>
              <w:rPr>
                <w:rFonts w:eastAsiaTheme="minorEastAsia" w:cs="Arial"/>
                <w:sz w:val="20"/>
                <w:szCs w:val="20"/>
              </w:rPr>
            </w:pPr>
            <w:r>
              <w:rPr>
                <w:rFonts w:eastAsiaTheme="minorEastAsia" w:cs="Arial"/>
                <w:sz w:val="20"/>
                <w:szCs w:val="20"/>
              </w:rPr>
              <w:lastRenderedPageBreak/>
              <w:t xml:space="preserve">1.3 </w:t>
            </w:r>
            <w:r w:rsidR="008A445C" w:rsidRPr="008A445C">
              <w:rPr>
                <w:rFonts w:eastAsiaTheme="minorEastAsia" w:cs="Arial"/>
                <w:sz w:val="20"/>
                <w:szCs w:val="20"/>
              </w:rPr>
              <w:t>MOF provides adequate personal protective equipment to all frontline health workers (in sizes suitable for both women and men), 62% of which are women.</w:t>
            </w:r>
            <w:r w:rsidR="008A445C">
              <w:rPr>
                <w:rFonts w:eastAsiaTheme="minorEastAsia" w:cs="Arial"/>
                <w:sz w:val="20"/>
                <w:szCs w:val="20"/>
              </w:rPr>
              <w:t xml:space="preserve"> </w:t>
            </w:r>
            <w:r w:rsidR="008A445C">
              <w:rPr>
                <w:rFonts w:eastAsiaTheme="minorEastAsia" w:cs="Arial"/>
                <w:bCs/>
                <w:sz w:val="20"/>
                <w:szCs w:val="20"/>
                <w:vertAlign w:val="superscript"/>
              </w:rPr>
              <w:t>i</w:t>
            </w:r>
            <w:r w:rsidR="008A445C">
              <w:rPr>
                <w:rFonts w:eastAsiaTheme="minorEastAsia" w:cs="Arial"/>
                <w:sz w:val="20"/>
                <w:szCs w:val="20"/>
              </w:rPr>
              <w:t xml:space="preserve"> </w:t>
            </w:r>
            <w:r w:rsidR="008A445C" w:rsidRPr="008A445C">
              <w:rPr>
                <w:rFonts w:eastAsiaTheme="minorEastAsia" w:cs="Arial"/>
                <w:sz w:val="20"/>
                <w:szCs w:val="20"/>
              </w:rPr>
              <w:t>(April 2020 baseline: no CVOID-19 cases before 2020</w:t>
            </w:r>
            <w:r w:rsidR="00040951">
              <w:rPr>
                <w:rFonts w:eastAsiaTheme="minorEastAsia" w:cs="Arial"/>
                <w:sz w:val="20"/>
                <w:szCs w:val="20"/>
              </w:rPr>
              <w:t>.</w:t>
            </w:r>
            <w:r w:rsidR="006939BB">
              <w:rPr>
                <w:rFonts w:eastAsiaTheme="minorEastAsia" w:cs="Arial"/>
                <w:bCs/>
                <w:sz w:val="20"/>
                <w:szCs w:val="20"/>
                <w:vertAlign w:val="superscript"/>
              </w:rPr>
              <w:t xml:space="preserve"> </w:t>
            </w:r>
          </w:p>
        </w:tc>
        <w:tc>
          <w:tcPr>
            <w:tcW w:w="2157" w:type="dxa"/>
            <w:tcBorders>
              <w:top w:val="single" w:sz="4" w:space="0" w:color="auto"/>
              <w:left w:val="single" w:sz="4" w:space="0" w:color="auto"/>
              <w:bottom w:val="single" w:sz="4" w:space="0" w:color="auto"/>
              <w:right w:val="single" w:sz="4" w:space="0" w:color="auto"/>
            </w:tcBorders>
          </w:tcPr>
          <w:p w14:paraId="0B50C3B7" w14:textId="77777777" w:rsidR="00E93C03" w:rsidRPr="00B56E32" w:rsidRDefault="00E93C03" w:rsidP="00145B7B">
            <w:pPr>
              <w:autoSpaceDE w:val="0"/>
              <w:autoSpaceDN w:val="0"/>
              <w:adjustRightInd w:val="0"/>
              <w:jc w:val="left"/>
              <w:rPr>
                <w:rFonts w:eastAsiaTheme="minorEastAsia" w:cs="Arial"/>
                <w:sz w:val="20"/>
                <w:szCs w:val="20"/>
              </w:rPr>
            </w:pPr>
          </w:p>
          <w:p w14:paraId="7D1C5A9B" w14:textId="7F93737D" w:rsidR="006E7178" w:rsidRPr="00EE7959" w:rsidRDefault="00924B8B" w:rsidP="00145B7B">
            <w:pPr>
              <w:autoSpaceDE w:val="0"/>
              <w:autoSpaceDN w:val="0"/>
              <w:adjustRightInd w:val="0"/>
              <w:jc w:val="left"/>
              <w:rPr>
                <w:rFonts w:eastAsiaTheme="minorEastAsia" w:cs="Arial"/>
                <w:sz w:val="20"/>
                <w:szCs w:val="20"/>
              </w:rPr>
            </w:pPr>
            <w:r>
              <w:rPr>
                <w:rFonts w:eastAsiaTheme="minorEastAsia" w:cs="Arial"/>
                <w:sz w:val="20"/>
                <w:szCs w:val="20"/>
              </w:rPr>
              <w:t xml:space="preserve">1.1 </w:t>
            </w:r>
            <w:r w:rsidR="006E7178" w:rsidRPr="00B56E32">
              <w:rPr>
                <w:rFonts w:eastAsiaTheme="minorEastAsia" w:cs="Arial"/>
                <w:sz w:val="20"/>
                <w:szCs w:val="20"/>
              </w:rPr>
              <w:t xml:space="preserve">Government </w:t>
            </w:r>
            <w:r>
              <w:rPr>
                <w:rFonts w:eastAsiaTheme="minorEastAsia" w:cs="Arial"/>
                <w:sz w:val="20"/>
                <w:szCs w:val="20"/>
              </w:rPr>
              <w:t>resolution on containment measures published and content disseminated through social media.</w:t>
            </w:r>
          </w:p>
          <w:p w14:paraId="6DC75AC6" w14:textId="7F86B15C" w:rsidR="00E93C03" w:rsidRDefault="00E93C03" w:rsidP="00145B7B">
            <w:pPr>
              <w:pStyle w:val="ListParagraph"/>
              <w:autoSpaceDE w:val="0"/>
              <w:autoSpaceDN w:val="0"/>
              <w:adjustRightInd w:val="0"/>
              <w:ind w:left="360"/>
              <w:rPr>
                <w:rFonts w:eastAsiaTheme="minorEastAsia" w:cs="Arial"/>
                <w:sz w:val="20"/>
                <w:szCs w:val="20"/>
              </w:rPr>
            </w:pPr>
          </w:p>
          <w:p w14:paraId="6D4F1B91" w14:textId="6E230308" w:rsidR="0078401B" w:rsidRPr="00B56E32" w:rsidRDefault="0078401B" w:rsidP="00145B7B">
            <w:pPr>
              <w:pStyle w:val="ListParagraph"/>
              <w:autoSpaceDE w:val="0"/>
              <w:autoSpaceDN w:val="0"/>
              <w:adjustRightInd w:val="0"/>
              <w:ind w:left="360"/>
              <w:rPr>
                <w:rFonts w:eastAsiaTheme="minorEastAsia" w:cs="Arial"/>
                <w:sz w:val="20"/>
                <w:szCs w:val="20"/>
              </w:rPr>
            </w:pPr>
          </w:p>
          <w:p w14:paraId="7C2B9D3A" w14:textId="77777777" w:rsidR="0078401B" w:rsidRPr="005E6E19" w:rsidRDefault="0078401B" w:rsidP="005E6E19">
            <w:pPr>
              <w:autoSpaceDE w:val="0"/>
              <w:autoSpaceDN w:val="0"/>
              <w:adjustRightInd w:val="0"/>
              <w:rPr>
                <w:rFonts w:eastAsiaTheme="minorEastAsia" w:cs="Arial"/>
                <w:sz w:val="20"/>
                <w:szCs w:val="20"/>
              </w:rPr>
            </w:pPr>
          </w:p>
          <w:p w14:paraId="4B228483" w14:textId="77777777" w:rsidR="006E7178" w:rsidRDefault="006E7178" w:rsidP="00145B7B">
            <w:pPr>
              <w:autoSpaceDE w:val="0"/>
              <w:autoSpaceDN w:val="0"/>
              <w:adjustRightInd w:val="0"/>
              <w:jc w:val="left"/>
              <w:rPr>
                <w:rFonts w:eastAsiaTheme="minorEastAsia" w:cs="Arial"/>
                <w:sz w:val="20"/>
                <w:szCs w:val="20"/>
              </w:rPr>
            </w:pPr>
          </w:p>
          <w:p w14:paraId="70E41247" w14:textId="789E1484" w:rsidR="00E63693" w:rsidRDefault="00E63693" w:rsidP="00145B7B">
            <w:pPr>
              <w:autoSpaceDE w:val="0"/>
              <w:autoSpaceDN w:val="0"/>
              <w:adjustRightInd w:val="0"/>
              <w:jc w:val="left"/>
              <w:rPr>
                <w:rFonts w:eastAsiaTheme="minorEastAsia" w:cs="Arial"/>
                <w:sz w:val="20"/>
                <w:szCs w:val="20"/>
              </w:rPr>
            </w:pPr>
          </w:p>
          <w:p w14:paraId="63860D5A" w14:textId="77777777" w:rsidR="00E63693" w:rsidRDefault="00E63693" w:rsidP="00145B7B">
            <w:pPr>
              <w:autoSpaceDE w:val="0"/>
              <w:autoSpaceDN w:val="0"/>
              <w:adjustRightInd w:val="0"/>
              <w:jc w:val="left"/>
              <w:rPr>
                <w:rFonts w:eastAsiaTheme="minorEastAsia" w:cs="Arial"/>
                <w:sz w:val="20"/>
                <w:szCs w:val="20"/>
              </w:rPr>
            </w:pPr>
          </w:p>
          <w:p w14:paraId="3D944251" w14:textId="77777777" w:rsidR="00642258" w:rsidRDefault="00642258" w:rsidP="00145B7B">
            <w:pPr>
              <w:autoSpaceDE w:val="0"/>
              <w:autoSpaceDN w:val="0"/>
              <w:adjustRightInd w:val="0"/>
              <w:jc w:val="left"/>
              <w:rPr>
                <w:rFonts w:eastAsiaTheme="minorEastAsia" w:cs="Arial"/>
                <w:sz w:val="20"/>
                <w:szCs w:val="20"/>
              </w:rPr>
            </w:pPr>
          </w:p>
          <w:p w14:paraId="7F521172" w14:textId="7C65C4C1" w:rsidR="00642258" w:rsidRDefault="00924B8B" w:rsidP="00145B7B">
            <w:pPr>
              <w:autoSpaceDE w:val="0"/>
              <w:autoSpaceDN w:val="0"/>
              <w:adjustRightInd w:val="0"/>
              <w:jc w:val="left"/>
              <w:rPr>
                <w:rFonts w:eastAsiaTheme="minorEastAsia" w:cs="Arial"/>
                <w:sz w:val="20"/>
                <w:szCs w:val="20"/>
              </w:rPr>
            </w:pPr>
            <w:r>
              <w:rPr>
                <w:rFonts w:eastAsiaTheme="minorEastAsia" w:cs="Arial"/>
                <w:sz w:val="20"/>
                <w:szCs w:val="20"/>
              </w:rPr>
              <w:t>1.</w:t>
            </w:r>
            <w:r w:rsidR="001C6DE3">
              <w:rPr>
                <w:rFonts w:eastAsiaTheme="minorEastAsia" w:cs="Arial"/>
                <w:sz w:val="20"/>
                <w:szCs w:val="20"/>
              </w:rPr>
              <w:t>2</w:t>
            </w:r>
            <w:r>
              <w:rPr>
                <w:rFonts w:eastAsiaTheme="minorEastAsia" w:cs="Arial"/>
                <w:sz w:val="20"/>
                <w:szCs w:val="20"/>
              </w:rPr>
              <w:t xml:space="preserve"> </w:t>
            </w:r>
            <w:r w:rsidR="001C6DE3">
              <w:rPr>
                <w:rFonts w:eastAsiaTheme="minorEastAsia" w:cs="Arial"/>
                <w:sz w:val="20"/>
                <w:szCs w:val="20"/>
              </w:rPr>
              <w:t>Quarterly</w:t>
            </w:r>
            <w:r w:rsidR="005E6E19">
              <w:rPr>
                <w:rFonts w:eastAsiaTheme="minorEastAsia" w:cs="Arial"/>
                <w:sz w:val="20"/>
                <w:szCs w:val="20"/>
              </w:rPr>
              <w:t xml:space="preserve"> </w:t>
            </w:r>
            <w:proofErr w:type="spellStart"/>
            <w:r>
              <w:rPr>
                <w:rFonts w:eastAsiaTheme="minorEastAsia" w:cs="Arial"/>
                <w:sz w:val="20"/>
                <w:szCs w:val="20"/>
              </w:rPr>
              <w:t>MoILHSA</w:t>
            </w:r>
            <w:proofErr w:type="spellEnd"/>
            <w:r>
              <w:rPr>
                <w:rFonts w:eastAsiaTheme="minorEastAsia" w:cs="Arial"/>
                <w:sz w:val="20"/>
                <w:szCs w:val="20"/>
              </w:rPr>
              <w:t xml:space="preserve"> report</w:t>
            </w:r>
          </w:p>
          <w:p w14:paraId="29DBD12F" w14:textId="77777777" w:rsidR="00040951" w:rsidRDefault="00040951" w:rsidP="00145B7B">
            <w:pPr>
              <w:autoSpaceDE w:val="0"/>
              <w:autoSpaceDN w:val="0"/>
              <w:adjustRightInd w:val="0"/>
              <w:jc w:val="left"/>
              <w:rPr>
                <w:rFonts w:eastAsiaTheme="minorEastAsia" w:cs="Arial"/>
                <w:sz w:val="20"/>
                <w:szCs w:val="20"/>
              </w:rPr>
            </w:pPr>
          </w:p>
          <w:p w14:paraId="77E7150D" w14:textId="77777777" w:rsidR="00040951" w:rsidRDefault="00040951" w:rsidP="00145B7B">
            <w:pPr>
              <w:autoSpaceDE w:val="0"/>
              <w:autoSpaceDN w:val="0"/>
              <w:adjustRightInd w:val="0"/>
              <w:jc w:val="left"/>
              <w:rPr>
                <w:rFonts w:eastAsiaTheme="minorEastAsia" w:cs="Arial"/>
                <w:sz w:val="20"/>
                <w:szCs w:val="20"/>
              </w:rPr>
            </w:pPr>
          </w:p>
          <w:p w14:paraId="11AE7A85" w14:textId="77777777" w:rsidR="00040951" w:rsidRDefault="00040951" w:rsidP="00145B7B">
            <w:pPr>
              <w:autoSpaceDE w:val="0"/>
              <w:autoSpaceDN w:val="0"/>
              <w:adjustRightInd w:val="0"/>
              <w:jc w:val="left"/>
              <w:rPr>
                <w:rFonts w:eastAsiaTheme="minorEastAsia" w:cs="Arial"/>
                <w:sz w:val="20"/>
                <w:szCs w:val="20"/>
              </w:rPr>
            </w:pPr>
          </w:p>
          <w:p w14:paraId="075A34A5" w14:textId="77777777" w:rsidR="00040951" w:rsidRDefault="00040951" w:rsidP="00145B7B">
            <w:pPr>
              <w:autoSpaceDE w:val="0"/>
              <w:autoSpaceDN w:val="0"/>
              <w:adjustRightInd w:val="0"/>
              <w:jc w:val="left"/>
              <w:rPr>
                <w:rFonts w:eastAsiaTheme="minorEastAsia" w:cs="Arial"/>
                <w:sz w:val="20"/>
                <w:szCs w:val="20"/>
              </w:rPr>
            </w:pPr>
          </w:p>
          <w:p w14:paraId="2F6DCF4E" w14:textId="77777777" w:rsidR="00040951" w:rsidRDefault="00040951" w:rsidP="00145B7B">
            <w:pPr>
              <w:autoSpaceDE w:val="0"/>
              <w:autoSpaceDN w:val="0"/>
              <w:adjustRightInd w:val="0"/>
              <w:jc w:val="left"/>
              <w:rPr>
                <w:rFonts w:eastAsiaTheme="minorEastAsia" w:cs="Arial"/>
                <w:sz w:val="20"/>
                <w:szCs w:val="20"/>
              </w:rPr>
            </w:pPr>
          </w:p>
          <w:p w14:paraId="54429E86" w14:textId="77777777" w:rsidR="00040951" w:rsidRDefault="00040951" w:rsidP="00145B7B">
            <w:pPr>
              <w:autoSpaceDE w:val="0"/>
              <w:autoSpaceDN w:val="0"/>
              <w:adjustRightInd w:val="0"/>
              <w:jc w:val="left"/>
              <w:rPr>
                <w:rFonts w:eastAsiaTheme="minorEastAsia" w:cs="Arial"/>
                <w:sz w:val="20"/>
                <w:szCs w:val="20"/>
              </w:rPr>
            </w:pPr>
          </w:p>
          <w:p w14:paraId="132E3AAE" w14:textId="77777777" w:rsidR="00040951" w:rsidRDefault="00040951" w:rsidP="00145B7B">
            <w:pPr>
              <w:autoSpaceDE w:val="0"/>
              <w:autoSpaceDN w:val="0"/>
              <w:adjustRightInd w:val="0"/>
              <w:jc w:val="left"/>
              <w:rPr>
                <w:rFonts w:eastAsiaTheme="minorEastAsia" w:cs="Arial"/>
                <w:sz w:val="20"/>
                <w:szCs w:val="20"/>
              </w:rPr>
            </w:pPr>
          </w:p>
          <w:p w14:paraId="5002716F" w14:textId="399F6DF1" w:rsidR="00040951" w:rsidRPr="000D3736" w:rsidRDefault="00040951" w:rsidP="00145B7B">
            <w:pPr>
              <w:autoSpaceDE w:val="0"/>
              <w:autoSpaceDN w:val="0"/>
              <w:adjustRightInd w:val="0"/>
              <w:jc w:val="left"/>
              <w:rPr>
                <w:rFonts w:eastAsiaTheme="minorEastAsia" w:cs="Arial"/>
                <w:sz w:val="20"/>
                <w:szCs w:val="20"/>
              </w:rPr>
            </w:pPr>
            <w:r>
              <w:rPr>
                <w:rFonts w:eastAsiaTheme="minorEastAsia" w:cs="Arial"/>
                <w:sz w:val="20"/>
                <w:szCs w:val="20"/>
              </w:rPr>
              <w:lastRenderedPageBreak/>
              <w:t>1.3 Sex disaggregated report on the number of health workers provided with PPE submitted to MOF by December 2020.</w:t>
            </w:r>
          </w:p>
        </w:tc>
        <w:tc>
          <w:tcPr>
            <w:tcW w:w="2167" w:type="dxa"/>
            <w:tcBorders>
              <w:top w:val="single" w:sz="4" w:space="0" w:color="auto"/>
              <w:left w:val="single" w:sz="4" w:space="0" w:color="auto"/>
              <w:bottom w:val="single" w:sz="4" w:space="0" w:color="auto"/>
              <w:right w:val="single" w:sz="4" w:space="0" w:color="auto"/>
            </w:tcBorders>
          </w:tcPr>
          <w:p w14:paraId="4398EF34" w14:textId="77777777" w:rsidR="006E7178" w:rsidRDefault="006E7178" w:rsidP="00B56E32">
            <w:pPr>
              <w:autoSpaceDE w:val="0"/>
              <w:autoSpaceDN w:val="0"/>
              <w:adjustRightInd w:val="0"/>
              <w:jc w:val="left"/>
              <w:rPr>
                <w:rFonts w:eastAsiaTheme="minorEastAsia" w:cs="Arial"/>
                <w:sz w:val="20"/>
                <w:szCs w:val="20"/>
              </w:rPr>
            </w:pPr>
          </w:p>
          <w:p w14:paraId="08C68139" w14:textId="61053C83" w:rsidR="00C468F6" w:rsidRPr="00EE7959" w:rsidRDefault="009F1F07" w:rsidP="00B56E32">
            <w:pPr>
              <w:autoSpaceDE w:val="0"/>
              <w:autoSpaceDN w:val="0"/>
              <w:adjustRightInd w:val="0"/>
              <w:jc w:val="left"/>
              <w:rPr>
                <w:rFonts w:eastAsiaTheme="minorEastAsia" w:cs="Arial"/>
                <w:sz w:val="20"/>
                <w:szCs w:val="20"/>
              </w:rPr>
            </w:pPr>
            <w:r w:rsidRPr="00177D22">
              <w:rPr>
                <w:rFonts w:cs="Arial"/>
                <w:sz w:val="20"/>
                <w:szCs w:val="20"/>
              </w:rPr>
              <w:t>Ineffective coordination across government agencies and insufficient capacity may negatively affect planned health and soci</w:t>
            </w:r>
            <w:r w:rsidR="00EC21A2" w:rsidRPr="00177D22">
              <w:rPr>
                <w:rFonts w:cs="Arial"/>
                <w:sz w:val="20"/>
                <w:szCs w:val="20"/>
              </w:rPr>
              <w:t>o-economic</w:t>
            </w:r>
            <w:r w:rsidRPr="00177D22">
              <w:rPr>
                <w:rFonts w:cs="Arial"/>
                <w:sz w:val="20"/>
                <w:szCs w:val="20"/>
              </w:rPr>
              <w:t xml:space="preserve"> responses during crisis</w:t>
            </w:r>
            <w:r w:rsidR="00EC21A2" w:rsidRPr="00177D22">
              <w:rPr>
                <w:rFonts w:cs="Arial"/>
                <w:sz w:val="20"/>
                <w:szCs w:val="20"/>
              </w:rPr>
              <w:t>.</w:t>
            </w:r>
          </w:p>
        </w:tc>
      </w:tr>
      <w:tr w:rsidR="006E7178" w:rsidRPr="00E93C03" w14:paraId="25F1906A" w14:textId="77777777" w:rsidTr="00054939">
        <w:trPr>
          <w:trHeight w:val="1277"/>
          <w:jc w:val="center"/>
        </w:trPr>
        <w:tc>
          <w:tcPr>
            <w:tcW w:w="2315" w:type="dxa"/>
            <w:tcBorders>
              <w:top w:val="single" w:sz="4" w:space="0" w:color="auto"/>
              <w:left w:val="single" w:sz="4" w:space="0" w:color="auto"/>
              <w:bottom w:val="single" w:sz="4" w:space="0" w:color="auto"/>
              <w:right w:val="single" w:sz="4" w:space="0" w:color="auto"/>
            </w:tcBorders>
          </w:tcPr>
          <w:p w14:paraId="1AE2FCFA" w14:textId="217DDCB9" w:rsidR="006E7178" w:rsidRPr="000D3736" w:rsidRDefault="006E7178" w:rsidP="00B56E32">
            <w:pPr>
              <w:autoSpaceDE w:val="0"/>
              <w:autoSpaceDN w:val="0"/>
              <w:adjustRightInd w:val="0"/>
              <w:jc w:val="left"/>
              <w:rPr>
                <w:rFonts w:eastAsiaTheme="minorEastAsia" w:cs="Arial"/>
                <w:b/>
                <w:sz w:val="20"/>
                <w:szCs w:val="20"/>
              </w:rPr>
            </w:pPr>
            <w:r w:rsidRPr="00B56E32">
              <w:rPr>
                <w:rFonts w:eastAsiaTheme="minorEastAsia" w:cs="Arial"/>
                <w:bCs/>
                <w:sz w:val="20"/>
                <w:szCs w:val="20"/>
              </w:rPr>
              <w:t xml:space="preserve">2. </w:t>
            </w:r>
            <w:r w:rsidR="000C5C7C">
              <w:rPr>
                <w:rFonts w:eastAsiaTheme="minorEastAsia" w:cs="Arial"/>
                <w:bCs/>
                <w:sz w:val="20"/>
                <w:szCs w:val="20"/>
              </w:rPr>
              <w:t>Affected pr</w:t>
            </w:r>
            <w:r w:rsidR="001A6DC5">
              <w:rPr>
                <w:rFonts w:eastAsiaTheme="minorEastAsia" w:cs="Arial"/>
                <w:bCs/>
                <w:sz w:val="20"/>
                <w:szCs w:val="20"/>
              </w:rPr>
              <w:t>ivate sector entities</w:t>
            </w:r>
            <w:r w:rsidR="00506A96" w:rsidRPr="00506A96">
              <w:rPr>
                <w:rFonts w:eastAsiaTheme="minorEastAsia" w:cs="Arial"/>
                <w:bCs/>
                <w:sz w:val="20"/>
                <w:szCs w:val="20"/>
              </w:rPr>
              <w:t xml:space="preserve"> assisted </w:t>
            </w:r>
          </w:p>
        </w:tc>
        <w:tc>
          <w:tcPr>
            <w:tcW w:w="3170" w:type="dxa"/>
            <w:tcBorders>
              <w:top w:val="single" w:sz="4" w:space="0" w:color="auto"/>
              <w:left w:val="single" w:sz="4" w:space="0" w:color="auto"/>
              <w:bottom w:val="single" w:sz="4" w:space="0" w:color="auto"/>
              <w:right w:val="single" w:sz="4" w:space="0" w:color="auto"/>
            </w:tcBorders>
          </w:tcPr>
          <w:p w14:paraId="10ADD32E" w14:textId="5FBE0476" w:rsidR="00DC3C23" w:rsidRDefault="006E7178" w:rsidP="00EE7959">
            <w:pPr>
              <w:autoSpaceDE w:val="0"/>
              <w:autoSpaceDN w:val="0"/>
              <w:adjustRightInd w:val="0"/>
              <w:jc w:val="left"/>
              <w:rPr>
                <w:rFonts w:eastAsiaTheme="minorEastAsia" w:cs="Arial"/>
                <w:bCs/>
                <w:sz w:val="20"/>
                <w:szCs w:val="20"/>
              </w:rPr>
            </w:pPr>
            <w:r w:rsidRPr="000D3736">
              <w:rPr>
                <w:rFonts w:eastAsiaTheme="minorEastAsia" w:cs="Arial"/>
                <w:bCs/>
                <w:sz w:val="20"/>
                <w:szCs w:val="20"/>
              </w:rPr>
              <w:t>2.</w:t>
            </w:r>
            <w:r w:rsidR="00886849">
              <w:rPr>
                <w:rFonts w:eastAsiaTheme="minorEastAsia" w:cs="Arial"/>
                <w:bCs/>
                <w:sz w:val="20"/>
                <w:szCs w:val="20"/>
              </w:rPr>
              <w:t>1</w:t>
            </w:r>
            <w:r w:rsidRPr="000D3736">
              <w:rPr>
                <w:rFonts w:eastAsiaTheme="minorEastAsia" w:cs="Arial"/>
                <w:bCs/>
                <w:sz w:val="20"/>
                <w:szCs w:val="20"/>
              </w:rPr>
              <w:t xml:space="preserve"> </w:t>
            </w:r>
            <w:r w:rsidR="00C04C32">
              <w:rPr>
                <w:rFonts w:eastAsiaTheme="minorEastAsia" w:cs="Arial"/>
                <w:bCs/>
                <w:sz w:val="20"/>
                <w:szCs w:val="20"/>
              </w:rPr>
              <w:t>At least 4,</w:t>
            </w:r>
            <w:r w:rsidR="00431CA8">
              <w:rPr>
                <w:rFonts w:eastAsiaTheme="minorEastAsia" w:cs="Arial"/>
                <w:bCs/>
                <w:sz w:val="20"/>
                <w:szCs w:val="20"/>
              </w:rPr>
              <w:t>0</w:t>
            </w:r>
            <w:r w:rsidR="00C04C32">
              <w:rPr>
                <w:rFonts w:eastAsiaTheme="minorEastAsia" w:cs="Arial"/>
                <w:bCs/>
                <w:sz w:val="20"/>
                <w:szCs w:val="20"/>
              </w:rPr>
              <w:t xml:space="preserve">00 </w:t>
            </w:r>
            <w:r w:rsidR="00431CA8">
              <w:rPr>
                <w:rFonts w:eastAsiaTheme="minorEastAsia" w:cs="Arial"/>
                <w:bCs/>
                <w:sz w:val="20"/>
                <w:szCs w:val="20"/>
              </w:rPr>
              <w:t>SMEs</w:t>
            </w:r>
            <w:r w:rsidR="007C52F9">
              <w:rPr>
                <w:rFonts w:eastAsiaTheme="minorEastAsia" w:cs="Arial"/>
                <w:bCs/>
                <w:sz w:val="20"/>
                <w:szCs w:val="20"/>
              </w:rPr>
              <w:t xml:space="preserve"> in the tourism industry have their property and income tax payments deferred until 1 November 2020.</w:t>
            </w:r>
            <w:r w:rsidR="00690A16">
              <w:rPr>
                <w:rFonts w:eastAsiaTheme="minorEastAsia" w:cs="Arial"/>
                <w:bCs/>
                <w:sz w:val="20"/>
                <w:szCs w:val="20"/>
              </w:rPr>
              <w:t xml:space="preserve"> </w:t>
            </w:r>
            <w:r w:rsidR="008D4927">
              <w:rPr>
                <w:rFonts w:eastAsiaTheme="minorEastAsia" w:cs="Arial"/>
                <w:bCs/>
                <w:sz w:val="20"/>
                <w:szCs w:val="20"/>
              </w:rPr>
              <w:t>At least 40% of beneficiaries are women-owned businesses</w:t>
            </w:r>
            <w:bookmarkStart w:id="37" w:name="_Hlk39472037"/>
            <w:r w:rsidR="008A445C">
              <w:rPr>
                <w:rFonts w:eastAsiaTheme="minorEastAsia" w:cs="Arial"/>
                <w:bCs/>
                <w:sz w:val="20"/>
                <w:szCs w:val="20"/>
              </w:rPr>
              <w:t xml:space="preserve"> </w:t>
            </w:r>
            <w:r w:rsidR="008D4927" w:rsidRPr="00BC5F1A">
              <w:rPr>
                <w:rFonts w:eastAsiaTheme="minorEastAsia" w:cs="Arial"/>
                <w:bCs/>
                <w:sz w:val="20"/>
                <w:szCs w:val="20"/>
                <w:vertAlign w:val="superscript"/>
              </w:rPr>
              <w:t>i</w:t>
            </w:r>
            <w:bookmarkEnd w:id="37"/>
            <w:r w:rsidR="008D4927">
              <w:rPr>
                <w:rFonts w:eastAsiaTheme="minorEastAsia" w:cs="Arial"/>
                <w:bCs/>
                <w:sz w:val="20"/>
                <w:szCs w:val="20"/>
              </w:rPr>
              <w:t xml:space="preserve"> </w:t>
            </w:r>
            <w:r w:rsidR="007C52F9">
              <w:rPr>
                <w:rFonts w:eastAsiaTheme="minorEastAsia" w:cs="Arial"/>
                <w:bCs/>
                <w:sz w:val="20"/>
                <w:szCs w:val="20"/>
              </w:rPr>
              <w:t>(</w:t>
            </w:r>
            <w:r w:rsidR="00924B8B">
              <w:rPr>
                <w:rFonts w:eastAsiaTheme="minorEastAsia" w:cs="Arial"/>
                <w:bCs/>
                <w:sz w:val="20"/>
                <w:szCs w:val="20"/>
              </w:rPr>
              <w:t>b</w:t>
            </w:r>
            <w:r w:rsidR="007C52F9">
              <w:rPr>
                <w:rFonts w:eastAsiaTheme="minorEastAsia" w:cs="Arial"/>
                <w:bCs/>
                <w:sz w:val="20"/>
                <w:szCs w:val="20"/>
              </w:rPr>
              <w:t>aseline: 0 firms provided with deferral on income and property tax payment)</w:t>
            </w:r>
          </w:p>
          <w:p w14:paraId="7E61C191" w14:textId="268A8485" w:rsidR="007C52F9" w:rsidRDefault="007C52F9" w:rsidP="00EE7959">
            <w:pPr>
              <w:autoSpaceDE w:val="0"/>
              <w:autoSpaceDN w:val="0"/>
              <w:adjustRightInd w:val="0"/>
              <w:jc w:val="left"/>
              <w:rPr>
                <w:rFonts w:eastAsiaTheme="minorEastAsia" w:cs="Arial"/>
                <w:bCs/>
                <w:sz w:val="20"/>
                <w:szCs w:val="20"/>
              </w:rPr>
            </w:pPr>
          </w:p>
          <w:p w14:paraId="54183FBD" w14:textId="77777777" w:rsidR="006E7178" w:rsidRDefault="007C52F9" w:rsidP="00280FCD">
            <w:pPr>
              <w:autoSpaceDE w:val="0"/>
              <w:autoSpaceDN w:val="0"/>
              <w:adjustRightInd w:val="0"/>
              <w:jc w:val="left"/>
              <w:rPr>
                <w:rFonts w:eastAsiaTheme="minorEastAsia" w:cs="Arial"/>
                <w:bCs/>
                <w:sz w:val="20"/>
                <w:szCs w:val="20"/>
              </w:rPr>
            </w:pPr>
            <w:r>
              <w:rPr>
                <w:rFonts w:eastAsiaTheme="minorEastAsia" w:cs="Arial"/>
                <w:bCs/>
                <w:sz w:val="20"/>
                <w:szCs w:val="20"/>
              </w:rPr>
              <w:t xml:space="preserve">2.2 At least 850 </w:t>
            </w:r>
            <w:r w:rsidR="00F93E54">
              <w:rPr>
                <w:rFonts w:eastAsiaTheme="minorEastAsia" w:cs="Arial"/>
                <w:bCs/>
                <w:sz w:val="20"/>
                <w:szCs w:val="20"/>
              </w:rPr>
              <w:t>small and medium sized hotels</w:t>
            </w:r>
            <w:r>
              <w:rPr>
                <w:rFonts w:eastAsiaTheme="minorEastAsia" w:cs="Arial"/>
                <w:bCs/>
                <w:sz w:val="20"/>
                <w:szCs w:val="20"/>
              </w:rPr>
              <w:t xml:space="preserve"> benefit from </w:t>
            </w:r>
            <w:r w:rsidR="00F93E54">
              <w:rPr>
                <w:rFonts w:eastAsiaTheme="minorEastAsia" w:cs="Arial"/>
                <w:bCs/>
                <w:sz w:val="20"/>
                <w:szCs w:val="20"/>
              </w:rPr>
              <w:t>subsidization of 80% of bank loan interest payments</w:t>
            </w:r>
            <w:r w:rsidR="00C852C9">
              <w:rPr>
                <w:rFonts w:eastAsiaTheme="minorEastAsia" w:cs="Arial"/>
                <w:bCs/>
                <w:sz w:val="20"/>
                <w:szCs w:val="20"/>
              </w:rPr>
              <w:t xml:space="preserve"> for six months</w:t>
            </w:r>
            <w:r w:rsidR="00BA4209">
              <w:rPr>
                <w:rFonts w:eastAsiaTheme="minorEastAsia" w:cs="Arial"/>
                <w:bCs/>
                <w:sz w:val="20"/>
                <w:szCs w:val="20"/>
              </w:rPr>
              <w:t>.</w:t>
            </w:r>
            <w:r w:rsidR="003C6C9F">
              <w:rPr>
                <w:rFonts w:eastAsiaTheme="minorEastAsia" w:cs="Arial"/>
                <w:bCs/>
                <w:sz w:val="20"/>
                <w:szCs w:val="20"/>
              </w:rPr>
              <w:t xml:space="preserve"> </w:t>
            </w:r>
            <w:r w:rsidR="001E07DE">
              <w:rPr>
                <w:rFonts w:eastAsiaTheme="minorEastAsia" w:cs="Arial"/>
                <w:bCs/>
                <w:sz w:val="20"/>
                <w:szCs w:val="20"/>
              </w:rPr>
              <w:t xml:space="preserve">At least 40% of beneficiaries are women-owned small and medium sized hotels </w:t>
            </w:r>
            <w:r w:rsidR="001E07DE" w:rsidRPr="001E07DE">
              <w:rPr>
                <w:rFonts w:eastAsiaTheme="minorEastAsia" w:cs="Arial"/>
                <w:bCs/>
                <w:sz w:val="20"/>
                <w:szCs w:val="20"/>
                <w:vertAlign w:val="superscript"/>
              </w:rPr>
              <w:t>c</w:t>
            </w:r>
            <w:r w:rsidR="001E07DE">
              <w:rPr>
                <w:rFonts w:eastAsiaTheme="minorEastAsia" w:cs="Arial"/>
                <w:bCs/>
                <w:sz w:val="20"/>
                <w:szCs w:val="20"/>
              </w:rPr>
              <w:t xml:space="preserve">. </w:t>
            </w:r>
            <w:r w:rsidR="00F93E54">
              <w:rPr>
                <w:rFonts w:eastAsiaTheme="minorEastAsia" w:cs="Arial"/>
                <w:bCs/>
                <w:sz w:val="20"/>
                <w:szCs w:val="20"/>
              </w:rPr>
              <w:t>(</w:t>
            </w:r>
            <w:r w:rsidR="004339F1">
              <w:rPr>
                <w:rFonts w:eastAsiaTheme="minorEastAsia" w:cs="Arial"/>
                <w:bCs/>
                <w:sz w:val="20"/>
                <w:szCs w:val="20"/>
              </w:rPr>
              <w:t>A</w:t>
            </w:r>
            <w:r w:rsidR="007C50CE">
              <w:rPr>
                <w:rFonts w:eastAsiaTheme="minorEastAsia" w:cs="Arial"/>
                <w:bCs/>
                <w:sz w:val="20"/>
                <w:szCs w:val="20"/>
              </w:rPr>
              <w:t xml:space="preserve">pril 2020 </w:t>
            </w:r>
            <w:r w:rsidR="00924B8B">
              <w:rPr>
                <w:rFonts w:eastAsiaTheme="minorEastAsia" w:cs="Arial"/>
                <w:bCs/>
                <w:sz w:val="20"/>
                <w:szCs w:val="20"/>
              </w:rPr>
              <w:t>b</w:t>
            </w:r>
            <w:r w:rsidR="00F93E54">
              <w:rPr>
                <w:rFonts w:eastAsiaTheme="minorEastAsia" w:cs="Arial"/>
                <w:bCs/>
                <w:sz w:val="20"/>
                <w:szCs w:val="20"/>
              </w:rPr>
              <w:t xml:space="preserve">aseline: </w:t>
            </w:r>
            <w:r w:rsidR="00924B8B">
              <w:rPr>
                <w:rFonts w:eastAsiaTheme="minorEastAsia" w:cs="Arial"/>
                <w:bCs/>
                <w:sz w:val="20"/>
                <w:szCs w:val="20"/>
              </w:rPr>
              <w:t>subsidies for interest payment were not provided</w:t>
            </w:r>
            <w:r w:rsidR="00F93E54">
              <w:rPr>
                <w:rFonts w:eastAsiaTheme="minorEastAsia" w:cs="Arial"/>
                <w:bCs/>
                <w:sz w:val="20"/>
                <w:szCs w:val="20"/>
              </w:rPr>
              <w:t>)</w:t>
            </w:r>
          </w:p>
          <w:p w14:paraId="068DB7A1" w14:textId="77777777" w:rsidR="00A55E5A" w:rsidRDefault="00A55E5A" w:rsidP="00280FCD">
            <w:pPr>
              <w:autoSpaceDE w:val="0"/>
              <w:autoSpaceDN w:val="0"/>
              <w:adjustRightInd w:val="0"/>
              <w:jc w:val="left"/>
              <w:rPr>
                <w:rFonts w:eastAsiaTheme="minorEastAsia" w:cs="Arial"/>
                <w:bCs/>
                <w:sz w:val="20"/>
                <w:szCs w:val="20"/>
              </w:rPr>
            </w:pPr>
          </w:p>
          <w:p w14:paraId="110FCA01" w14:textId="3D24FF7C" w:rsidR="006E7178" w:rsidRPr="008D595D" w:rsidRDefault="00A55E5A" w:rsidP="00280FCD">
            <w:pPr>
              <w:autoSpaceDE w:val="0"/>
              <w:autoSpaceDN w:val="0"/>
              <w:adjustRightInd w:val="0"/>
              <w:jc w:val="left"/>
              <w:rPr>
                <w:rFonts w:eastAsiaTheme="minorEastAsia" w:cs="Arial"/>
                <w:bCs/>
                <w:sz w:val="20"/>
                <w:szCs w:val="20"/>
              </w:rPr>
            </w:pPr>
            <w:r>
              <w:rPr>
                <w:rFonts w:eastAsiaTheme="minorEastAsia" w:cs="Arial"/>
                <w:bCs/>
                <w:sz w:val="20"/>
                <w:szCs w:val="20"/>
              </w:rPr>
              <w:t xml:space="preserve">2.3 At least 35,000 </w:t>
            </w:r>
            <w:r w:rsidR="00760E18">
              <w:rPr>
                <w:rFonts w:eastAsiaTheme="minorEastAsia" w:cs="Arial"/>
                <w:bCs/>
                <w:sz w:val="20"/>
                <w:szCs w:val="20"/>
              </w:rPr>
              <w:t>agriculture sector entrepreneurs</w:t>
            </w:r>
            <w:r>
              <w:rPr>
                <w:rFonts w:eastAsiaTheme="minorEastAsia" w:cs="Arial"/>
                <w:bCs/>
                <w:sz w:val="20"/>
                <w:szCs w:val="20"/>
              </w:rPr>
              <w:t xml:space="preserve"> benefit from </w:t>
            </w:r>
            <w:r w:rsidR="0029168C">
              <w:rPr>
                <w:rFonts w:eastAsiaTheme="minorEastAsia" w:cs="Arial"/>
                <w:bCs/>
                <w:sz w:val="20"/>
                <w:szCs w:val="20"/>
              </w:rPr>
              <w:t>exception from amelioration fees</w:t>
            </w:r>
            <w:r w:rsidRPr="00A55E5A">
              <w:rPr>
                <w:rFonts w:eastAsiaTheme="minorEastAsia" w:cs="Arial"/>
                <w:bCs/>
                <w:sz w:val="20"/>
                <w:szCs w:val="20"/>
              </w:rPr>
              <w:t xml:space="preserve"> </w:t>
            </w:r>
            <w:r w:rsidR="0029168C">
              <w:rPr>
                <w:rFonts w:eastAsiaTheme="minorEastAsia" w:cs="Arial"/>
                <w:bCs/>
                <w:sz w:val="20"/>
                <w:szCs w:val="20"/>
              </w:rPr>
              <w:t xml:space="preserve">and write-offs of any existing arrears on such fees. </w:t>
            </w:r>
            <w:r w:rsidR="00760E18">
              <w:rPr>
                <w:rFonts w:eastAsiaTheme="minorEastAsia" w:cs="Arial"/>
                <w:bCs/>
                <w:sz w:val="20"/>
                <w:szCs w:val="20"/>
              </w:rPr>
              <w:t>(April 2020 baseline: amelioration fees were not waived)</w:t>
            </w:r>
          </w:p>
        </w:tc>
        <w:tc>
          <w:tcPr>
            <w:tcW w:w="2157" w:type="dxa"/>
            <w:tcBorders>
              <w:top w:val="single" w:sz="4" w:space="0" w:color="auto"/>
              <w:left w:val="single" w:sz="4" w:space="0" w:color="auto"/>
              <w:bottom w:val="single" w:sz="4" w:space="0" w:color="auto"/>
              <w:right w:val="single" w:sz="4" w:space="0" w:color="auto"/>
            </w:tcBorders>
          </w:tcPr>
          <w:p w14:paraId="02585FA3" w14:textId="3E9DDBEC" w:rsidR="006E7178" w:rsidRPr="00EE7959"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 xml:space="preserve">2.1 </w:t>
            </w:r>
            <w:r w:rsidR="008D4927">
              <w:rPr>
                <w:rFonts w:eastAsiaTheme="minorEastAsia" w:cs="Arial"/>
                <w:sz w:val="20"/>
                <w:szCs w:val="20"/>
              </w:rPr>
              <w:t xml:space="preserve">MOF sex-disaggregated </w:t>
            </w:r>
            <w:r>
              <w:rPr>
                <w:rFonts w:eastAsiaTheme="minorEastAsia" w:cs="Arial"/>
                <w:sz w:val="20"/>
                <w:szCs w:val="20"/>
              </w:rPr>
              <w:t>report</w:t>
            </w:r>
            <w:r w:rsidR="008D4927">
              <w:rPr>
                <w:rFonts w:eastAsiaTheme="minorEastAsia" w:cs="Arial"/>
                <w:sz w:val="20"/>
                <w:szCs w:val="20"/>
              </w:rPr>
              <w:t xml:space="preserve"> by December 2020</w:t>
            </w:r>
          </w:p>
          <w:p w14:paraId="1359ADF5" w14:textId="1C1055C1" w:rsidR="006E7178" w:rsidRDefault="006E7178" w:rsidP="00EE7959">
            <w:pPr>
              <w:autoSpaceDE w:val="0"/>
              <w:autoSpaceDN w:val="0"/>
              <w:adjustRightInd w:val="0"/>
              <w:jc w:val="left"/>
              <w:rPr>
                <w:rFonts w:eastAsiaTheme="minorEastAsia" w:cs="Arial"/>
                <w:sz w:val="20"/>
                <w:szCs w:val="20"/>
              </w:rPr>
            </w:pPr>
          </w:p>
          <w:p w14:paraId="3F12105C" w14:textId="77777777" w:rsidR="00C339D2" w:rsidRDefault="00C339D2" w:rsidP="00EE7959">
            <w:pPr>
              <w:autoSpaceDE w:val="0"/>
              <w:autoSpaceDN w:val="0"/>
              <w:adjustRightInd w:val="0"/>
              <w:jc w:val="left"/>
              <w:rPr>
                <w:rFonts w:eastAsiaTheme="minorEastAsia" w:cs="Arial"/>
                <w:sz w:val="20"/>
                <w:szCs w:val="20"/>
              </w:rPr>
            </w:pPr>
          </w:p>
          <w:p w14:paraId="3447D3C1" w14:textId="77777777" w:rsidR="00C339D2" w:rsidRDefault="00C339D2" w:rsidP="00EE7959">
            <w:pPr>
              <w:autoSpaceDE w:val="0"/>
              <w:autoSpaceDN w:val="0"/>
              <w:adjustRightInd w:val="0"/>
              <w:jc w:val="left"/>
              <w:rPr>
                <w:rFonts w:eastAsiaTheme="minorEastAsia" w:cs="Arial"/>
                <w:sz w:val="20"/>
                <w:szCs w:val="20"/>
              </w:rPr>
            </w:pPr>
          </w:p>
          <w:p w14:paraId="28D3CBD6" w14:textId="77777777" w:rsidR="00C339D2" w:rsidRPr="00EE7959" w:rsidRDefault="00C339D2" w:rsidP="00EE7959">
            <w:pPr>
              <w:autoSpaceDE w:val="0"/>
              <w:autoSpaceDN w:val="0"/>
              <w:adjustRightInd w:val="0"/>
              <w:jc w:val="left"/>
              <w:rPr>
                <w:rFonts w:eastAsiaTheme="minorEastAsia" w:cs="Arial"/>
                <w:sz w:val="20"/>
                <w:szCs w:val="20"/>
              </w:rPr>
            </w:pPr>
          </w:p>
          <w:p w14:paraId="5C5D9F14" w14:textId="1C1055C1" w:rsidR="00BB668B" w:rsidRDefault="00BB668B" w:rsidP="26ACB371">
            <w:pPr>
              <w:autoSpaceDE w:val="0"/>
              <w:autoSpaceDN w:val="0"/>
              <w:adjustRightInd w:val="0"/>
              <w:jc w:val="left"/>
              <w:rPr>
                <w:rFonts w:eastAsiaTheme="minorEastAsia" w:cs="Arial"/>
                <w:sz w:val="20"/>
                <w:szCs w:val="20"/>
              </w:rPr>
            </w:pPr>
          </w:p>
          <w:p w14:paraId="78E88E19" w14:textId="77777777" w:rsidR="008D4927" w:rsidRDefault="008D4927" w:rsidP="00EE7959">
            <w:pPr>
              <w:autoSpaceDE w:val="0"/>
              <w:autoSpaceDN w:val="0"/>
              <w:adjustRightInd w:val="0"/>
              <w:jc w:val="left"/>
              <w:rPr>
                <w:rFonts w:eastAsiaTheme="minorEastAsia" w:cs="Arial"/>
                <w:sz w:val="20"/>
                <w:szCs w:val="20"/>
              </w:rPr>
            </w:pPr>
          </w:p>
          <w:p w14:paraId="66648EBE" w14:textId="77777777" w:rsidR="00924B8B" w:rsidRDefault="00924B8B" w:rsidP="00EE7959">
            <w:pPr>
              <w:autoSpaceDE w:val="0"/>
              <w:autoSpaceDN w:val="0"/>
              <w:adjustRightInd w:val="0"/>
              <w:jc w:val="left"/>
              <w:rPr>
                <w:rFonts w:eastAsiaTheme="minorEastAsia" w:cs="Arial"/>
                <w:sz w:val="20"/>
                <w:szCs w:val="20"/>
              </w:rPr>
            </w:pPr>
          </w:p>
          <w:p w14:paraId="72735D41" w14:textId="7E07453B" w:rsidR="006E7178" w:rsidRPr="00EE7959"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2.2</w:t>
            </w:r>
            <w:r w:rsidR="003C6C9F">
              <w:rPr>
                <w:rFonts w:eastAsiaTheme="minorEastAsia" w:cs="Arial"/>
                <w:sz w:val="20"/>
                <w:szCs w:val="20"/>
              </w:rPr>
              <w:t xml:space="preserve"> </w:t>
            </w:r>
            <w:r>
              <w:rPr>
                <w:rFonts w:eastAsiaTheme="minorEastAsia" w:cs="Arial"/>
                <w:sz w:val="20"/>
                <w:szCs w:val="20"/>
              </w:rPr>
              <w:t xml:space="preserve">MOF </w:t>
            </w:r>
            <w:r w:rsidR="00DA60D1">
              <w:rPr>
                <w:rFonts w:eastAsiaTheme="minorEastAsia" w:cs="Arial"/>
                <w:sz w:val="20"/>
                <w:szCs w:val="20"/>
              </w:rPr>
              <w:t xml:space="preserve">sex-disaggregated </w:t>
            </w:r>
            <w:r>
              <w:rPr>
                <w:rFonts w:eastAsiaTheme="minorEastAsia" w:cs="Arial"/>
                <w:sz w:val="20"/>
                <w:szCs w:val="20"/>
              </w:rPr>
              <w:t>report</w:t>
            </w:r>
            <w:r w:rsidR="00DA60D1">
              <w:rPr>
                <w:rFonts w:eastAsiaTheme="minorEastAsia" w:cs="Arial"/>
                <w:sz w:val="20"/>
                <w:szCs w:val="20"/>
              </w:rPr>
              <w:t xml:space="preserve"> submitted by December 2020</w:t>
            </w:r>
            <w:r w:rsidR="003C6C9F">
              <w:rPr>
                <w:rFonts w:eastAsiaTheme="minorEastAsia" w:cs="Arial"/>
                <w:sz w:val="20"/>
                <w:szCs w:val="20"/>
              </w:rPr>
              <w:t xml:space="preserve"> </w:t>
            </w:r>
          </w:p>
          <w:p w14:paraId="4D2E4D4B" w14:textId="77777777" w:rsidR="00363BAB" w:rsidRDefault="00363BAB" w:rsidP="00E93C03">
            <w:pPr>
              <w:autoSpaceDE w:val="0"/>
              <w:autoSpaceDN w:val="0"/>
              <w:adjustRightInd w:val="0"/>
              <w:jc w:val="left"/>
              <w:rPr>
                <w:rFonts w:eastAsiaTheme="minorEastAsia" w:cs="Arial"/>
                <w:sz w:val="20"/>
                <w:szCs w:val="20"/>
              </w:rPr>
            </w:pPr>
          </w:p>
          <w:p w14:paraId="6A5A14FB" w14:textId="77777777" w:rsidR="00924B8B" w:rsidRDefault="00924B8B" w:rsidP="00EE7959">
            <w:pPr>
              <w:autoSpaceDE w:val="0"/>
              <w:autoSpaceDN w:val="0"/>
              <w:adjustRightInd w:val="0"/>
              <w:jc w:val="left"/>
              <w:rPr>
                <w:rFonts w:eastAsiaTheme="minorEastAsia" w:cs="Arial"/>
                <w:sz w:val="20"/>
                <w:szCs w:val="20"/>
              </w:rPr>
            </w:pPr>
          </w:p>
          <w:p w14:paraId="6A874473" w14:textId="77777777" w:rsidR="00DA60D1" w:rsidRDefault="00DA60D1" w:rsidP="00EE7959">
            <w:pPr>
              <w:autoSpaceDE w:val="0"/>
              <w:autoSpaceDN w:val="0"/>
              <w:adjustRightInd w:val="0"/>
              <w:jc w:val="left"/>
              <w:rPr>
                <w:rFonts w:eastAsiaTheme="minorEastAsia" w:cs="Arial"/>
                <w:sz w:val="20"/>
                <w:szCs w:val="20"/>
              </w:rPr>
            </w:pPr>
          </w:p>
          <w:p w14:paraId="2BF9E8A8" w14:textId="6635AB49" w:rsidR="00924B8B" w:rsidRDefault="00924B8B" w:rsidP="00EE7959">
            <w:pPr>
              <w:autoSpaceDE w:val="0"/>
              <w:autoSpaceDN w:val="0"/>
              <w:adjustRightInd w:val="0"/>
              <w:jc w:val="left"/>
              <w:rPr>
                <w:rFonts w:eastAsiaTheme="minorEastAsia" w:cs="Arial"/>
                <w:sz w:val="20"/>
                <w:szCs w:val="20"/>
              </w:rPr>
            </w:pPr>
          </w:p>
          <w:p w14:paraId="33F8F247" w14:textId="77777777" w:rsidR="008D595D" w:rsidRDefault="008D595D" w:rsidP="00EE7959">
            <w:pPr>
              <w:autoSpaceDE w:val="0"/>
              <w:autoSpaceDN w:val="0"/>
              <w:adjustRightInd w:val="0"/>
              <w:jc w:val="left"/>
              <w:rPr>
                <w:rFonts w:eastAsiaTheme="minorEastAsia" w:cs="Arial"/>
                <w:sz w:val="20"/>
                <w:szCs w:val="20"/>
              </w:rPr>
            </w:pPr>
          </w:p>
          <w:p w14:paraId="30462548" w14:textId="77777777" w:rsidR="006E7178" w:rsidRDefault="006E7178" w:rsidP="002D5B6F">
            <w:pPr>
              <w:autoSpaceDE w:val="0"/>
              <w:autoSpaceDN w:val="0"/>
              <w:adjustRightInd w:val="0"/>
              <w:jc w:val="left"/>
              <w:rPr>
                <w:rFonts w:eastAsiaTheme="minorEastAsia" w:cs="Arial"/>
                <w:sz w:val="20"/>
                <w:szCs w:val="20"/>
              </w:rPr>
            </w:pPr>
          </w:p>
          <w:p w14:paraId="3C9F3781" w14:textId="77777777" w:rsidR="00760E18" w:rsidRDefault="00760E18" w:rsidP="002D5B6F">
            <w:pPr>
              <w:autoSpaceDE w:val="0"/>
              <w:autoSpaceDN w:val="0"/>
              <w:adjustRightInd w:val="0"/>
              <w:jc w:val="left"/>
              <w:rPr>
                <w:rFonts w:eastAsiaTheme="minorEastAsia" w:cs="Arial"/>
                <w:sz w:val="20"/>
                <w:szCs w:val="20"/>
              </w:rPr>
            </w:pPr>
          </w:p>
          <w:p w14:paraId="25C55145" w14:textId="5A2D2DC2" w:rsidR="006E7178" w:rsidRPr="0019273B" w:rsidRDefault="001204B1" w:rsidP="002D5B6F">
            <w:pPr>
              <w:autoSpaceDE w:val="0"/>
              <w:autoSpaceDN w:val="0"/>
              <w:adjustRightInd w:val="0"/>
              <w:jc w:val="left"/>
              <w:rPr>
                <w:rFonts w:eastAsiaTheme="minorEastAsia" w:cs="Arial"/>
                <w:sz w:val="20"/>
                <w:szCs w:val="20"/>
              </w:rPr>
            </w:pPr>
            <w:r>
              <w:rPr>
                <w:rFonts w:eastAsiaTheme="minorEastAsia" w:cs="Arial"/>
                <w:sz w:val="20"/>
                <w:szCs w:val="20"/>
              </w:rPr>
              <w:t>2.3 MOF sex-disaggregated report on number of beneficiaries from waivers of amelioration fees.</w:t>
            </w:r>
          </w:p>
        </w:tc>
        <w:tc>
          <w:tcPr>
            <w:tcW w:w="2167" w:type="dxa"/>
            <w:tcBorders>
              <w:top w:val="single" w:sz="4" w:space="0" w:color="auto"/>
              <w:left w:val="single" w:sz="4" w:space="0" w:color="auto"/>
              <w:bottom w:val="single" w:sz="4" w:space="0" w:color="auto"/>
              <w:right w:val="single" w:sz="4" w:space="0" w:color="auto"/>
            </w:tcBorders>
          </w:tcPr>
          <w:p w14:paraId="1806E254" w14:textId="7CD93CD8" w:rsidR="00F34F94" w:rsidRPr="00A42AC7" w:rsidRDefault="00C706B7" w:rsidP="00B56E32">
            <w:pPr>
              <w:autoSpaceDE w:val="0"/>
              <w:autoSpaceDN w:val="0"/>
              <w:adjustRightInd w:val="0"/>
              <w:jc w:val="left"/>
              <w:rPr>
                <w:rFonts w:cs="Arial"/>
                <w:sz w:val="20"/>
                <w:szCs w:val="20"/>
              </w:rPr>
            </w:pPr>
            <w:r w:rsidRPr="00A42AC7">
              <w:rPr>
                <w:rFonts w:cs="Arial"/>
                <w:sz w:val="20"/>
                <w:szCs w:val="20"/>
              </w:rPr>
              <w:t>The government lacks the technical expertise for countercyclical expenditure package implementation, causing subdued benefits</w:t>
            </w:r>
            <w:r w:rsidR="00A8019E" w:rsidRPr="00A42AC7">
              <w:rPr>
                <w:rFonts w:cs="Arial"/>
                <w:sz w:val="20"/>
                <w:szCs w:val="20"/>
              </w:rPr>
              <w:t>.</w:t>
            </w:r>
          </w:p>
          <w:p w14:paraId="63593FC8" w14:textId="77777777" w:rsidR="00A8019E" w:rsidRPr="00A42AC7" w:rsidRDefault="00A8019E" w:rsidP="00C706B7">
            <w:pPr>
              <w:autoSpaceDE w:val="0"/>
              <w:autoSpaceDN w:val="0"/>
              <w:adjustRightInd w:val="0"/>
              <w:jc w:val="left"/>
              <w:rPr>
                <w:rFonts w:cs="Arial"/>
                <w:sz w:val="20"/>
                <w:szCs w:val="20"/>
              </w:rPr>
            </w:pPr>
          </w:p>
          <w:p w14:paraId="3CEADE3A" w14:textId="6D1BD52B" w:rsidR="00A8019E" w:rsidRPr="00A42AC7" w:rsidRDefault="00A8019E" w:rsidP="00054939">
            <w:pPr>
              <w:jc w:val="left"/>
              <w:rPr>
                <w:rFonts w:cs="Arial"/>
                <w:sz w:val="20"/>
                <w:szCs w:val="20"/>
              </w:rPr>
            </w:pPr>
            <w:r w:rsidRPr="00A42AC7">
              <w:rPr>
                <w:rFonts w:cs="Arial"/>
                <w:sz w:val="20"/>
                <w:szCs w:val="20"/>
              </w:rPr>
              <w:t xml:space="preserve">Political Risk. Parliamentary elections are scheduled to be held in Georgia by October 2020. Changes in government may affect its commitment to reform measures envisaged under ADB support. </w:t>
            </w:r>
          </w:p>
          <w:p w14:paraId="1DCB93CB" w14:textId="333CE778" w:rsidR="006E7178" w:rsidRPr="000D3736" w:rsidRDefault="002377DF" w:rsidP="00B56E32">
            <w:pPr>
              <w:autoSpaceDE w:val="0"/>
              <w:autoSpaceDN w:val="0"/>
              <w:adjustRightInd w:val="0"/>
              <w:jc w:val="left"/>
              <w:rPr>
                <w:rFonts w:eastAsiaTheme="minorEastAsia" w:cs="Arial"/>
                <w:sz w:val="20"/>
                <w:szCs w:val="20"/>
              </w:rPr>
            </w:pPr>
            <w:r>
              <w:rPr>
                <w:rFonts w:eastAsiaTheme="minorEastAsia" w:cs="Arial"/>
                <w:sz w:val="20"/>
                <w:szCs w:val="20"/>
              </w:rPr>
              <w:t xml:space="preserve"> </w:t>
            </w:r>
          </w:p>
        </w:tc>
      </w:tr>
      <w:tr w:rsidR="006E7178" w:rsidRPr="00E93C03" w14:paraId="0E857D99" w14:textId="77777777" w:rsidTr="00054939">
        <w:trPr>
          <w:trHeight w:val="512"/>
          <w:jc w:val="center"/>
        </w:trPr>
        <w:tc>
          <w:tcPr>
            <w:tcW w:w="2315" w:type="dxa"/>
            <w:tcBorders>
              <w:top w:val="single" w:sz="4" w:space="0" w:color="auto"/>
              <w:left w:val="single" w:sz="4" w:space="0" w:color="auto"/>
              <w:bottom w:val="single" w:sz="4" w:space="0" w:color="auto"/>
              <w:right w:val="single" w:sz="4" w:space="0" w:color="auto"/>
            </w:tcBorders>
          </w:tcPr>
          <w:p w14:paraId="0836FDC2" w14:textId="5D79F04F" w:rsidR="006E7178" w:rsidRPr="00EE7959" w:rsidRDefault="006E7178" w:rsidP="00B56E32">
            <w:pPr>
              <w:autoSpaceDE w:val="0"/>
              <w:autoSpaceDN w:val="0"/>
              <w:adjustRightInd w:val="0"/>
              <w:jc w:val="left"/>
              <w:rPr>
                <w:rFonts w:eastAsiaTheme="minorEastAsia" w:cs="Arial"/>
                <w:bCs/>
                <w:sz w:val="20"/>
                <w:szCs w:val="20"/>
              </w:rPr>
            </w:pPr>
            <w:r w:rsidRPr="00B56E32">
              <w:rPr>
                <w:rFonts w:eastAsiaTheme="minorEastAsia" w:cs="Arial"/>
                <w:bCs/>
                <w:sz w:val="20"/>
                <w:szCs w:val="20"/>
              </w:rPr>
              <w:t xml:space="preserve">3. </w:t>
            </w:r>
            <w:r w:rsidR="00F017F0">
              <w:rPr>
                <w:rFonts w:eastAsiaTheme="minorEastAsia" w:cs="Arial"/>
                <w:bCs/>
                <w:sz w:val="20"/>
                <w:szCs w:val="20"/>
              </w:rPr>
              <w:t>Enhanced l</w:t>
            </w:r>
            <w:r w:rsidRPr="00B56E32">
              <w:rPr>
                <w:rFonts w:eastAsiaTheme="minorEastAsia" w:cs="Arial"/>
                <w:bCs/>
                <w:sz w:val="20"/>
                <w:szCs w:val="20"/>
              </w:rPr>
              <w:t xml:space="preserve">ivelihoods </w:t>
            </w:r>
            <w:r w:rsidR="00D56BAE">
              <w:rPr>
                <w:rFonts w:eastAsiaTheme="minorEastAsia" w:cs="Arial"/>
                <w:bCs/>
                <w:sz w:val="20"/>
                <w:szCs w:val="20"/>
              </w:rPr>
              <w:t>support for</w:t>
            </w:r>
            <w:r w:rsidRPr="00B56E32">
              <w:rPr>
                <w:rFonts w:eastAsiaTheme="minorEastAsia" w:cs="Arial"/>
                <w:bCs/>
                <w:sz w:val="20"/>
                <w:szCs w:val="20"/>
              </w:rPr>
              <w:t xml:space="preserve"> the most vulnerable segments of the population</w:t>
            </w:r>
            <w:r w:rsidR="00D56BAE">
              <w:rPr>
                <w:rFonts w:eastAsiaTheme="minorEastAsia" w:cs="Arial"/>
                <w:bCs/>
                <w:sz w:val="20"/>
                <w:szCs w:val="20"/>
              </w:rPr>
              <w:t>.</w:t>
            </w:r>
            <w:r w:rsidRPr="00B56E32">
              <w:rPr>
                <w:rFonts w:eastAsiaTheme="minorEastAsia" w:cs="Arial"/>
                <w:bCs/>
                <w:sz w:val="20"/>
                <w:szCs w:val="20"/>
              </w:rPr>
              <w:t xml:space="preserve"> </w:t>
            </w:r>
          </w:p>
        </w:tc>
        <w:tc>
          <w:tcPr>
            <w:tcW w:w="3170" w:type="dxa"/>
            <w:tcBorders>
              <w:top w:val="single" w:sz="4" w:space="0" w:color="auto"/>
              <w:left w:val="single" w:sz="4" w:space="0" w:color="auto"/>
              <w:bottom w:val="single" w:sz="4" w:space="0" w:color="auto"/>
              <w:right w:val="single" w:sz="4" w:space="0" w:color="auto"/>
            </w:tcBorders>
          </w:tcPr>
          <w:p w14:paraId="5C31195C" w14:textId="08869704" w:rsidR="00EF20BF" w:rsidRDefault="00EF20BF" w:rsidP="00EE7959">
            <w:pPr>
              <w:autoSpaceDE w:val="0"/>
              <w:autoSpaceDN w:val="0"/>
              <w:adjustRightInd w:val="0"/>
              <w:jc w:val="left"/>
              <w:rPr>
                <w:rFonts w:eastAsiaTheme="minorEastAsia" w:cs="Arial"/>
                <w:bCs/>
                <w:sz w:val="20"/>
                <w:szCs w:val="20"/>
              </w:rPr>
            </w:pPr>
            <w:r>
              <w:rPr>
                <w:rFonts w:eastAsiaTheme="minorEastAsia" w:cs="Arial"/>
                <w:bCs/>
                <w:sz w:val="20"/>
                <w:szCs w:val="20"/>
              </w:rPr>
              <w:t xml:space="preserve">3.1 </w:t>
            </w:r>
            <w:r w:rsidR="00DC4425">
              <w:rPr>
                <w:rFonts w:eastAsiaTheme="minorEastAsia" w:cs="Arial"/>
                <w:bCs/>
                <w:sz w:val="20"/>
                <w:szCs w:val="20"/>
              </w:rPr>
              <w:t xml:space="preserve">Employers are exempt from </w:t>
            </w:r>
            <w:r w:rsidR="00CF4FD5">
              <w:rPr>
                <w:rFonts w:eastAsiaTheme="minorEastAsia" w:cs="Arial"/>
                <w:bCs/>
                <w:sz w:val="20"/>
                <w:szCs w:val="20"/>
              </w:rPr>
              <w:t xml:space="preserve">payment of </w:t>
            </w:r>
            <w:r w:rsidR="00DC4425">
              <w:rPr>
                <w:rFonts w:eastAsiaTheme="minorEastAsia" w:cs="Arial"/>
                <w:bCs/>
                <w:sz w:val="20"/>
                <w:szCs w:val="20"/>
              </w:rPr>
              <w:t xml:space="preserve">income tax </w:t>
            </w:r>
            <w:r w:rsidR="00656CEE">
              <w:rPr>
                <w:rFonts w:eastAsiaTheme="minorEastAsia" w:cs="Arial"/>
                <w:bCs/>
                <w:sz w:val="20"/>
                <w:szCs w:val="20"/>
              </w:rPr>
              <w:t xml:space="preserve">for the initial GEL750 </w:t>
            </w:r>
            <w:r w:rsidR="00CF4FD5">
              <w:rPr>
                <w:rFonts w:eastAsiaTheme="minorEastAsia" w:cs="Arial"/>
                <w:bCs/>
                <w:sz w:val="20"/>
                <w:szCs w:val="20"/>
              </w:rPr>
              <w:t>for workers earning salaries up to GEL1500</w:t>
            </w:r>
            <w:r w:rsidR="00DC4425">
              <w:rPr>
                <w:rFonts w:eastAsiaTheme="minorEastAsia" w:cs="Arial"/>
                <w:bCs/>
                <w:sz w:val="20"/>
                <w:szCs w:val="20"/>
              </w:rPr>
              <w:t xml:space="preserve"> for a period of 6 months</w:t>
            </w:r>
            <w:r w:rsidR="00CF4FD5">
              <w:rPr>
                <w:rFonts w:eastAsiaTheme="minorEastAsia" w:cs="Arial"/>
                <w:bCs/>
                <w:sz w:val="20"/>
                <w:szCs w:val="20"/>
              </w:rPr>
              <w:t>, provided their jobs are retained</w:t>
            </w:r>
            <w:r w:rsidR="004A7458">
              <w:rPr>
                <w:rFonts w:eastAsiaTheme="minorEastAsia" w:cs="Arial"/>
                <w:bCs/>
                <w:sz w:val="20"/>
                <w:szCs w:val="20"/>
              </w:rPr>
              <w:t xml:space="preserve">. </w:t>
            </w:r>
            <w:r w:rsidR="00924B8B">
              <w:rPr>
                <w:rFonts w:eastAsiaTheme="minorEastAsia" w:cs="Arial"/>
                <w:bCs/>
                <w:sz w:val="20"/>
                <w:szCs w:val="20"/>
              </w:rPr>
              <w:t>(</w:t>
            </w:r>
            <w:r w:rsidR="00644599">
              <w:rPr>
                <w:rFonts w:eastAsiaTheme="minorEastAsia" w:cs="Arial"/>
                <w:bCs/>
                <w:sz w:val="20"/>
                <w:szCs w:val="20"/>
              </w:rPr>
              <w:t xml:space="preserve">April 2020 </w:t>
            </w:r>
            <w:r w:rsidR="00924B8B">
              <w:rPr>
                <w:rFonts w:eastAsiaTheme="minorEastAsia" w:cs="Arial"/>
                <w:bCs/>
                <w:sz w:val="20"/>
                <w:szCs w:val="20"/>
              </w:rPr>
              <w:t>baseline: no income tax exemption was provided)</w:t>
            </w:r>
          </w:p>
          <w:p w14:paraId="69875871" w14:textId="77777777" w:rsidR="007205DA" w:rsidRDefault="007205DA" w:rsidP="00EE7959">
            <w:pPr>
              <w:autoSpaceDE w:val="0"/>
              <w:autoSpaceDN w:val="0"/>
              <w:adjustRightInd w:val="0"/>
              <w:jc w:val="left"/>
              <w:rPr>
                <w:rFonts w:eastAsiaTheme="minorEastAsia" w:cs="Arial"/>
                <w:bCs/>
                <w:sz w:val="20"/>
                <w:szCs w:val="20"/>
              </w:rPr>
            </w:pPr>
          </w:p>
          <w:p w14:paraId="60BE5266" w14:textId="734B09CC" w:rsidR="00DC4425" w:rsidRDefault="007205DA" w:rsidP="00EE7959">
            <w:pPr>
              <w:autoSpaceDE w:val="0"/>
              <w:autoSpaceDN w:val="0"/>
              <w:adjustRightInd w:val="0"/>
              <w:jc w:val="left"/>
              <w:rPr>
                <w:rFonts w:eastAsiaTheme="minorEastAsia" w:cs="Arial"/>
                <w:bCs/>
                <w:sz w:val="20"/>
                <w:szCs w:val="20"/>
              </w:rPr>
            </w:pPr>
            <w:r>
              <w:rPr>
                <w:rFonts w:eastAsiaTheme="minorEastAsia" w:cs="Arial"/>
                <w:bCs/>
                <w:sz w:val="20"/>
                <w:szCs w:val="20"/>
              </w:rPr>
              <w:t xml:space="preserve">3.2 </w:t>
            </w:r>
            <w:r w:rsidR="00C04C90">
              <w:rPr>
                <w:rFonts w:eastAsiaTheme="minorEastAsia" w:cs="Arial"/>
                <w:bCs/>
                <w:sz w:val="20"/>
                <w:szCs w:val="20"/>
              </w:rPr>
              <w:t>Up to</w:t>
            </w:r>
            <w:r>
              <w:rPr>
                <w:rFonts w:eastAsiaTheme="minorEastAsia" w:cs="Arial"/>
                <w:bCs/>
                <w:sz w:val="20"/>
                <w:szCs w:val="20"/>
              </w:rPr>
              <w:t xml:space="preserve"> 3</w:t>
            </w:r>
            <w:r w:rsidR="00A01828">
              <w:rPr>
                <w:rFonts w:eastAsiaTheme="minorEastAsia" w:cs="Arial"/>
                <w:bCs/>
                <w:sz w:val="20"/>
                <w:szCs w:val="20"/>
              </w:rPr>
              <w:t>5</w:t>
            </w:r>
            <w:r>
              <w:rPr>
                <w:rFonts w:eastAsiaTheme="minorEastAsia" w:cs="Arial"/>
                <w:bCs/>
                <w:sz w:val="20"/>
                <w:szCs w:val="20"/>
              </w:rPr>
              <w:t xml:space="preserve">0,000 </w:t>
            </w:r>
            <w:r w:rsidR="00327754">
              <w:rPr>
                <w:rFonts w:eastAsiaTheme="minorEastAsia" w:cs="Arial"/>
                <w:bCs/>
                <w:sz w:val="20"/>
                <w:szCs w:val="20"/>
              </w:rPr>
              <w:t xml:space="preserve">workers who </w:t>
            </w:r>
            <w:r w:rsidR="00154CE1">
              <w:rPr>
                <w:rFonts w:eastAsiaTheme="minorEastAsia" w:cs="Arial"/>
                <w:bCs/>
                <w:sz w:val="20"/>
                <w:szCs w:val="20"/>
              </w:rPr>
              <w:t xml:space="preserve">are laid off </w:t>
            </w:r>
            <w:r w:rsidR="002F3CB9">
              <w:rPr>
                <w:rFonts w:eastAsiaTheme="minorEastAsia" w:cs="Arial"/>
                <w:bCs/>
                <w:sz w:val="20"/>
                <w:szCs w:val="20"/>
              </w:rPr>
              <w:t xml:space="preserve">due to COVID-19 </w:t>
            </w:r>
            <w:r w:rsidR="00154CE1">
              <w:rPr>
                <w:rFonts w:eastAsiaTheme="minorEastAsia" w:cs="Arial"/>
                <w:bCs/>
                <w:sz w:val="20"/>
                <w:szCs w:val="20"/>
              </w:rPr>
              <w:t>(temporar</w:t>
            </w:r>
            <w:r w:rsidR="002F3CB9">
              <w:rPr>
                <w:rFonts w:eastAsiaTheme="minorEastAsia" w:cs="Arial"/>
                <w:bCs/>
                <w:sz w:val="20"/>
                <w:szCs w:val="20"/>
              </w:rPr>
              <w:t>il</w:t>
            </w:r>
            <w:r w:rsidR="00154CE1">
              <w:rPr>
                <w:rFonts w:eastAsiaTheme="minorEastAsia" w:cs="Arial"/>
                <w:bCs/>
                <w:sz w:val="20"/>
                <w:szCs w:val="20"/>
              </w:rPr>
              <w:t>y or permanent</w:t>
            </w:r>
            <w:r w:rsidR="002F3CB9">
              <w:rPr>
                <w:rFonts w:eastAsiaTheme="minorEastAsia" w:cs="Arial"/>
                <w:bCs/>
                <w:sz w:val="20"/>
                <w:szCs w:val="20"/>
              </w:rPr>
              <w:t>ly</w:t>
            </w:r>
            <w:r w:rsidR="00154CE1">
              <w:rPr>
                <w:rFonts w:eastAsiaTheme="minorEastAsia" w:cs="Arial"/>
                <w:bCs/>
                <w:sz w:val="20"/>
                <w:szCs w:val="20"/>
              </w:rPr>
              <w:t xml:space="preserve">) </w:t>
            </w:r>
            <w:r>
              <w:rPr>
                <w:rFonts w:eastAsiaTheme="minorEastAsia" w:cs="Arial"/>
                <w:bCs/>
                <w:sz w:val="20"/>
                <w:szCs w:val="20"/>
              </w:rPr>
              <w:t xml:space="preserve">receive </w:t>
            </w:r>
            <w:r w:rsidR="002F3CB9">
              <w:rPr>
                <w:rFonts w:eastAsiaTheme="minorEastAsia" w:cs="Arial"/>
                <w:bCs/>
                <w:sz w:val="20"/>
                <w:szCs w:val="20"/>
              </w:rPr>
              <w:t xml:space="preserve">temporary unemployment assistance of </w:t>
            </w:r>
            <w:r>
              <w:rPr>
                <w:rFonts w:eastAsiaTheme="minorEastAsia" w:cs="Arial"/>
                <w:bCs/>
                <w:sz w:val="20"/>
                <w:szCs w:val="20"/>
              </w:rPr>
              <w:t>GEL200 per month for a period of six months</w:t>
            </w:r>
            <w:r w:rsidR="003A0F98">
              <w:rPr>
                <w:rFonts w:eastAsiaTheme="minorEastAsia" w:cs="Arial"/>
                <w:bCs/>
                <w:sz w:val="20"/>
                <w:szCs w:val="20"/>
              </w:rPr>
              <w:t>.</w:t>
            </w:r>
            <w:r w:rsidR="00E27802">
              <w:rPr>
                <w:rFonts w:eastAsiaTheme="minorEastAsia" w:cs="Arial"/>
                <w:bCs/>
                <w:sz w:val="20"/>
                <w:szCs w:val="20"/>
              </w:rPr>
              <w:t xml:space="preserve"> </w:t>
            </w:r>
            <w:r w:rsidR="00924B8B">
              <w:rPr>
                <w:rFonts w:eastAsiaTheme="minorEastAsia" w:cs="Arial"/>
                <w:bCs/>
                <w:sz w:val="20"/>
                <w:szCs w:val="20"/>
              </w:rPr>
              <w:t>(</w:t>
            </w:r>
            <w:r w:rsidR="005D6DAB">
              <w:rPr>
                <w:rFonts w:eastAsiaTheme="minorEastAsia" w:cs="Arial"/>
                <w:bCs/>
                <w:sz w:val="20"/>
                <w:szCs w:val="20"/>
              </w:rPr>
              <w:t xml:space="preserve">April 2020 </w:t>
            </w:r>
            <w:r w:rsidR="00924B8B">
              <w:rPr>
                <w:rFonts w:eastAsiaTheme="minorEastAsia" w:cs="Arial"/>
                <w:bCs/>
                <w:sz w:val="20"/>
                <w:szCs w:val="20"/>
              </w:rPr>
              <w:t xml:space="preserve">baseline: severance pay limited </w:t>
            </w:r>
            <w:r w:rsidR="00924B8B">
              <w:rPr>
                <w:rFonts w:eastAsiaTheme="minorEastAsia" w:cs="Arial"/>
                <w:bCs/>
                <w:sz w:val="20"/>
                <w:szCs w:val="20"/>
              </w:rPr>
              <w:lastRenderedPageBreak/>
              <w:t>to one month’s salary and borne by employer)</w:t>
            </w:r>
          </w:p>
          <w:p w14:paraId="169C3C99" w14:textId="77777777" w:rsidR="007205DA" w:rsidRDefault="007205DA" w:rsidP="00EE7959">
            <w:pPr>
              <w:autoSpaceDE w:val="0"/>
              <w:autoSpaceDN w:val="0"/>
              <w:adjustRightInd w:val="0"/>
              <w:jc w:val="left"/>
              <w:rPr>
                <w:rFonts w:eastAsiaTheme="minorEastAsia" w:cs="Arial"/>
                <w:bCs/>
                <w:sz w:val="20"/>
                <w:szCs w:val="20"/>
              </w:rPr>
            </w:pPr>
          </w:p>
          <w:p w14:paraId="0EE31C72" w14:textId="70D6265E" w:rsidR="007212A1" w:rsidRDefault="00653181" w:rsidP="00EE7959">
            <w:pPr>
              <w:autoSpaceDE w:val="0"/>
              <w:autoSpaceDN w:val="0"/>
              <w:adjustRightInd w:val="0"/>
              <w:jc w:val="left"/>
              <w:rPr>
                <w:rFonts w:eastAsiaTheme="minorEastAsia" w:cs="Arial"/>
                <w:bCs/>
                <w:sz w:val="20"/>
                <w:szCs w:val="20"/>
              </w:rPr>
            </w:pPr>
            <w:r>
              <w:rPr>
                <w:rFonts w:eastAsiaTheme="minorEastAsia" w:cs="Arial"/>
                <w:bCs/>
                <w:sz w:val="20"/>
                <w:szCs w:val="20"/>
              </w:rPr>
              <w:t xml:space="preserve">3.3 </w:t>
            </w:r>
            <w:r w:rsidR="002F3CB9">
              <w:rPr>
                <w:rFonts w:eastAsiaTheme="minorEastAsia" w:cs="Arial"/>
                <w:bCs/>
                <w:sz w:val="20"/>
                <w:szCs w:val="20"/>
              </w:rPr>
              <w:t>Up to</w:t>
            </w:r>
            <w:r>
              <w:rPr>
                <w:rFonts w:eastAsiaTheme="minorEastAsia" w:cs="Arial"/>
                <w:bCs/>
                <w:sz w:val="20"/>
                <w:szCs w:val="20"/>
              </w:rPr>
              <w:t xml:space="preserve"> 2</w:t>
            </w:r>
            <w:r w:rsidR="00174B24">
              <w:rPr>
                <w:rFonts w:eastAsiaTheme="minorEastAsia" w:cs="Arial"/>
                <w:bCs/>
                <w:sz w:val="20"/>
                <w:szCs w:val="20"/>
              </w:rPr>
              <w:t>5</w:t>
            </w:r>
            <w:r>
              <w:rPr>
                <w:rFonts w:eastAsiaTheme="minorEastAsia" w:cs="Arial"/>
                <w:bCs/>
                <w:sz w:val="20"/>
                <w:szCs w:val="20"/>
              </w:rPr>
              <w:t>0,000 informal o</w:t>
            </w:r>
            <w:r w:rsidR="00E1078D">
              <w:rPr>
                <w:rFonts w:eastAsiaTheme="minorEastAsia" w:cs="Arial"/>
                <w:bCs/>
                <w:sz w:val="20"/>
                <w:szCs w:val="20"/>
              </w:rPr>
              <w:t>r</w:t>
            </w:r>
            <w:r>
              <w:rPr>
                <w:rFonts w:eastAsiaTheme="minorEastAsia" w:cs="Arial"/>
                <w:bCs/>
                <w:sz w:val="20"/>
                <w:szCs w:val="20"/>
              </w:rPr>
              <w:t xml:space="preserve"> self-employed workers who can demonstrate loss of income receive a one-time payment of GEL300.</w:t>
            </w:r>
            <w:r w:rsidR="00924B8B">
              <w:rPr>
                <w:rFonts w:eastAsiaTheme="minorEastAsia" w:cs="Arial"/>
                <w:bCs/>
                <w:sz w:val="20"/>
                <w:szCs w:val="20"/>
              </w:rPr>
              <w:t xml:space="preserve"> (</w:t>
            </w:r>
            <w:r w:rsidR="005D6DAB">
              <w:rPr>
                <w:rFonts w:eastAsiaTheme="minorEastAsia" w:cs="Arial"/>
                <w:bCs/>
                <w:sz w:val="20"/>
                <w:szCs w:val="20"/>
              </w:rPr>
              <w:t xml:space="preserve">April 2020 </w:t>
            </w:r>
            <w:r w:rsidR="00924B8B">
              <w:rPr>
                <w:rFonts w:eastAsiaTheme="minorEastAsia" w:cs="Arial"/>
                <w:bCs/>
                <w:sz w:val="20"/>
                <w:szCs w:val="20"/>
              </w:rPr>
              <w:t>baseline: no unemployment benefit program for informal workers in place)</w:t>
            </w:r>
          </w:p>
          <w:p w14:paraId="7E1764F9" w14:textId="6289B1B2" w:rsidR="00C8690F" w:rsidRDefault="00C8690F" w:rsidP="00EE7959">
            <w:pPr>
              <w:autoSpaceDE w:val="0"/>
              <w:autoSpaceDN w:val="0"/>
              <w:adjustRightInd w:val="0"/>
              <w:jc w:val="left"/>
              <w:rPr>
                <w:rFonts w:eastAsiaTheme="minorEastAsia" w:cs="Arial"/>
                <w:bCs/>
                <w:sz w:val="20"/>
                <w:szCs w:val="20"/>
              </w:rPr>
            </w:pPr>
          </w:p>
          <w:p w14:paraId="5772E2A3" w14:textId="388C367E" w:rsidR="00C8690F" w:rsidRDefault="00C8690F" w:rsidP="00EE7959">
            <w:pPr>
              <w:autoSpaceDE w:val="0"/>
              <w:autoSpaceDN w:val="0"/>
              <w:adjustRightInd w:val="0"/>
              <w:jc w:val="left"/>
              <w:rPr>
                <w:rFonts w:eastAsiaTheme="minorEastAsia" w:cs="Arial"/>
                <w:bCs/>
                <w:sz w:val="20"/>
                <w:szCs w:val="20"/>
              </w:rPr>
            </w:pPr>
            <w:r>
              <w:rPr>
                <w:rFonts w:eastAsiaTheme="minorEastAsia" w:cs="Arial"/>
                <w:bCs/>
                <w:sz w:val="20"/>
                <w:szCs w:val="20"/>
              </w:rPr>
              <w:t>3.</w:t>
            </w:r>
            <w:r w:rsidR="00A570D4">
              <w:rPr>
                <w:rFonts w:eastAsiaTheme="minorEastAsia" w:cs="Arial"/>
                <w:bCs/>
                <w:sz w:val="20"/>
                <w:szCs w:val="20"/>
              </w:rPr>
              <w:t>4</w:t>
            </w:r>
            <w:r>
              <w:rPr>
                <w:rFonts w:eastAsiaTheme="minorEastAsia" w:cs="Arial"/>
                <w:bCs/>
                <w:sz w:val="20"/>
                <w:szCs w:val="20"/>
              </w:rPr>
              <w:t xml:space="preserve"> </w:t>
            </w:r>
            <w:r w:rsidRPr="00C8690F">
              <w:rPr>
                <w:rFonts w:eastAsiaTheme="minorEastAsia" w:cs="Arial"/>
                <w:bCs/>
                <w:sz w:val="20"/>
                <w:szCs w:val="20"/>
              </w:rPr>
              <w:t xml:space="preserve">At least </w:t>
            </w:r>
            <w:r w:rsidR="005A1084">
              <w:rPr>
                <w:rFonts w:eastAsiaTheme="minorEastAsia" w:cs="Arial"/>
                <w:bCs/>
                <w:sz w:val="20"/>
                <w:szCs w:val="20"/>
              </w:rPr>
              <w:t>41</w:t>
            </w:r>
            <w:r w:rsidRPr="00C8690F">
              <w:rPr>
                <w:rFonts w:eastAsiaTheme="minorEastAsia" w:cs="Arial"/>
                <w:bCs/>
                <w:sz w:val="20"/>
                <w:szCs w:val="20"/>
              </w:rPr>
              <w:t>,</w:t>
            </w:r>
            <w:r w:rsidR="005A1084">
              <w:rPr>
                <w:rFonts w:eastAsiaTheme="minorEastAsia" w:cs="Arial"/>
                <w:bCs/>
                <w:sz w:val="20"/>
                <w:szCs w:val="20"/>
              </w:rPr>
              <w:t>5</w:t>
            </w:r>
            <w:r w:rsidRPr="00C8690F">
              <w:rPr>
                <w:rFonts w:eastAsiaTheme="minorEastAsia" w:cs="Arial"/>
                <w:bCs/>
                <w:sz w:val="20"/>
                <w:szCs w:val="20"/>
              </w:rPr>
              <w:t xml:space="preserve">00 </w:t>
            </w:r>
            <w:r>
              <w:rPr>
                <w:rFonts w:eastAsiaTheme="minorEastAsia" w:cs="Arial"/>
                <w:bCs/>
                <w:sz w:val="20"/>
                <w:szCs w:val="20"/>
              </w:rPr>
              <w:t>persons</w:t>
            </w:r>
            <w:r w:rsidR="0052632E">
              <w:rPr>
                <w:rFonts w:eastAsiaTheme="minorEastAsia" w:cs="Arial"/>
                <w:bCs/>
                <w:sz w:val="20"/>
                <w:szCs w:val="20"/>
              </w:rPr>
              <w:t xml:space="preserve">, </w:t>
            </w:r>
            <w:r w:rsidR="00AE2B2E">
              <w:rPr>
                <w:rFonts w:eastAsiaTheme="minorEastAsia" w:cs="Arial"/>
                <w:bCs/>
                <w:sz w:val="20"/>
                <w:szCs w:val="20"/>
              </w:rPr>
              <w:t>(</w:t>
            </w:r>
            <w:r w:rsidR="0052632E">
              <w:rPr>
                <w:rFonts w:eastAsiaTheme="minorEastAsia" w:cs="Arial"/>
                <w:bCs/>
                <w:sz w:val="20"/>
                <w:szCs w:val="20"/>
              </w:rPr>
              <w:t>including all women</w:t>
            </w:r>
            <w:r>
              <w:rPr>
                <w:rFonts w:eastAsiaTheme="minorEastAsia" w:cs="Arial"/>
                <w:bCs/>
                <w:sz w:val="20"/>
                <w:szCs w:val="20"/>
              </w:rPr>
              <w:t xml:space="preserve"> living with </w:t>
            </w:r>
            <w:r w:rsidR="0052632E">
              <w:rPr>
                <w:rFonts w:eastAsiaTheme="minorEastAsia" w:cs="Arial"/>
                <w:bCs/>
                <w:sz w:val="20"/>
                <w:szCs w:val="20"/>
              </w:rPr>
              <w:t>acute</w:t>
            </w:r>
            <w:r>
              <w:rPr>
                <w:rFonts w:eastAsiaTheme="minorEastAsia" w:cs="Arial"/>
                <w:bCs/>
                <w:sz w:val="20"/>
                <w:szCs w:val="20"/>
              </w:rPr>
              <w:t xml:space="preserve"> </w:t>
            </w:r>
            <w:r w:rsidR="00AE2B2E">
              <w:rPr>
                <w:rFonts w:eastAsiaTheme="minorEastAsia" w:cs="Arial"/>
                <w:bCs/>
                <w:sz w:val="20"/>
                <w:szCs w:val="20"/>
              </w:rPr>
              <w:t>Group I disabilities and children living with disabilities)</w:t>
            </w:r>
            <w:r w:rsidR="0052632E">
              <w:rPr>
                <w:rFonts w:eastAsiaTheme="minorEastAsia" w:cs="Arial"/>
                <w:bCs/>
                <w:sz w:val="20"/>
                <w:szCs w:val="20"/>
              </w:rPr>
              <w:t xml:space="preserve">, </w:t>
            </w:r>
            <w:r>
              <w:rPr>
                <w:rFonts w:eastAsiaTheme="minorEastAsia" w:cs="Arial"/>
                <w:bCs/>
                <w:sz w:val="20"/>
                <w:szCs w:val="20"/>
              </w:rPr>
              <w:t>receive</w:t>
            </w:r>
            <w:r w:rsidRPr="00C8690F">
              <w:rPr>
                <w:rFonts w:eastAsiaTheme="minorEastAsia" w:cs="Arial"/>
                <w:bCs/>
                <w:sz w:val="20"/>
                <w:szCs w:val="20"/>
              </w:rPr>
              <w:t xml:space="preserve"> GEL200 per month for a period of six months.</w:t>
            </w:r>
            <w:r>
              <w:rPr>
                <w:rFonts w:eastAsiaTheme="minorEastAsia" w:cs="Arial"/>
                <w:bCs/>
                <w:sz w:val="20"/>
                <w:szCs w:val="20"/>
              </w:rPr>
              <w:t xml:space="preserve"> </w:t>
            </w:r>
            <w:r w:rsidR="00924B8B">
              <w:rPr>
                <w:rFonts w:eastAsiaTheme="minorEastAsia" w:cs="Arial"/>
                <w:bCs/>
                <w:sz w:val="20"/>
                <w:szCs w:val="20"/>
              </w:rPr>
              <w:t>(</w:t>
            </w:r>
            <w:r w:rsidR="005D6DAB">
              <w:rPr>
                <w:rFonts w:eastAsiaTheme="minorEastAsia" w:cs="Arial"/>
                <w:bCs/>
                <w:sz w:val="20"/>
                <w:szCs w:val="20"/>
              </w:rPr>
              <w:t xml:space="preserve">April 2020 </w:t>
            </w:r>
            <w:r w:rsidR="00924B8B">
              <w:rPr>
                <w:rFonts w:eastAsiaTheme="minorEastAsia" w:cs="Arial"/>
                <w:bCs/>
                <w:sz w:val="20"/>
                <w:szCs w:val="20"/>
              </w:rPr>
              <w:t xml:space="preserve">baseline: GEL180 per month is paid </w:t>
            </w:r>
            <w:r w:rsidR="00F51E86">
              <w:rPr>
                <w:rFonts w:eastAsiaTheme="minorEastAsia" w:cs="Arial"/>
                <w:bCs/>
                <w:sz w:val="20"/>
                <w:szCs w:val="20"/>
              </w:rPr>
              <w:t>to</w:t>
            </w:r>
            <w:r w:rsidR="00924B8B">
              <w:rPr>
                <w:rFonts w:eastAsiaTheme="minorEastAsia" w:cs="Arial"/>
                <w:bCs/>
                <w:sz w:val="20"/>
                <w:szCs w:val="20"/>
              </w:rPr>
              <w:t xml:space="preserve"> </w:t>
            </w:r>
            <w:r w:rsidR="00F51E86">
              <w:rPr>
                <w:rFonts w:eastAsiaTheme="minorEastAsia" w:cs="Arial"/>
                <w:bCs/>
                <w:sz w:val="20"/>
                <w:szCs w:val="20"/>
              </w:rPr>
              <w:t xml:space="preserve">31,956 </w:t>
            </w:r>
            <w:r w:rsidR="00C11080">
              <w:rPr>
                <w:rFonts w:eastAsiaTheme="minorEastAsia" w:cs="Arial"/>
                <w:bCs/>
                <w:sz w:val="20"/>
                <w:szCs w:val="20"/>
              </w:rPr>
              <w:t xml:space="preserve">children and </w:t>
            </w:r>
            <w:r w:rsidR="005C3021">
              <w:rPr>
                <w:rFonts w:eastAsiaTheme="minorEastAsia" w:cs="Arial"/>
                <w:bCs/>
                <w:sz w:val="20"/>
                <w:szCs w:val="20"/>
              </w:rPr>
              <w:t>people living with Group I</w:t>
            </w:r>
            <w:r w:rsidR="00924B8B">
              <w:rPr>
                <w:rFonts w:eastAsiaTheme="minorEastAsia" w:cs="Arial"/>
                <w:bCs/>
                <w:sz w:val="20"/>
                <w:szCs w:val="20"/>
              </w:rPr>
              <w:t xml:space="preserve"> disability.)</w:t>
            </w:r>
          </w:p>
          <w:p w14:paraId="241A5AEA" w14:textId="221E8CAA" w:rsidR="00F871E0" w:rsidRDefault="00F871E0" w:rsidP="00EE7959">
            <w:pPr>
              <w:autoSpaceDE w:val="0"/>
              <w:autoSpaceDN w:val="0"/>
              <w:adjustRightInd w:val="0"/>
              <w:jc w:val="left"/>
              <w:rPr>
                <w:rFonts w:eastAsiaTheme="minorEastAsia" w:cs="Arial"/>
                <w:bCs/>
                <w:sz w:val="20"/>
                <w:szCs w:val="20"/>
              </w:rPr>
            </w:pPr>
          </w:p>
          <w:p w14:paraId="09071E71" w14:textId="11F0F490" w:rsidR="00F871E0" w:rsidRDefault="00F871E0" w:rsidP="00EE7959">
            <w:pPr>
              <w:autoSpaceDE w:val="0"/>
              <w:autoSpaceDN w:val="0"/>
              <w:adjustRightInd w:val="0"/>
              <w:jc w:val="left"/>
              <w:rPr>
                <w:rFonts w:eastAsiaTheme="minorEastAsia" w:cs="Arial"/>
                <w:bCs/>
                <w:sz w:val="20"/>
                <w:szCs w:val="20"/>
              </w:rPr>
            </w:pPr>
            <w:r>
              <w:rPr>
                <w:rFonts w:eastAsiaTheme="minorEastAsia" w:cs="Arial"/>
                <w:bCs/>
                <w:sz w:val="20"/>
                <w:szCs w:val="20"/>
              </w:rPr>
              <w:t>3.</w:t>
            </w:r>
            <w:r w:rsidR="00827111">
              <w:rPr>
                <w:rFonts w:eastAsiaTheme="minorEastAsia" w:cs="Arial"/>
                <w:bCs/>
                <w:sz w:val="20"/>
                <w:szCs w:val="20"/>
              </w:rPr>
              <w:t>5</w:t>
            </w:r>
            <w:r>
              <w:rPr>
                <w:rFonts w:eastAsiaTheme="minorEastAsia" w:cs="Arial"/>
                <w:bCs/>
                <w:sz w:val="20"/>
                <w:szCs w:val="20"/>
              </w:rPr>
              <w:t xml:space="preserve"> </w:t>
            </w:r>
            <w:r w:rsidR="00D229BE" w:rsidRPr="00D229BE">
              <w:rPr>
                <w:rFonts w:eastAsiaTheme="minorEastAsia" w:cs="Arial"/>
                <w:bCs/>
                <w:sz w:val="20"/>
                <w:szCs w:val="20"/>
              </w:rPr>
              <w:t xml:space="preserve">Shelf prices for at least 9 key food </w:t>
            </w:r>
            <w:proofErr w:type="spellStart"/>
            <w:r w:rsidR="00D229BE" w:rsidRPr="00D229BE">
              <w:rPr>
                <w:rFonts w:eastAsiaTheme="minorEastAsia" w:cs="Arial"/>
                <w:bCs/>
                <w:sz w:val="20"/>
                <w:szCs w:val="20"/>
              </w:rPr>
              <w:t>products</w:t>
            </w:r>
            <w:r w:rsidR="005A3C6F" w:rsidRPr="005A3C6F">
              <w:rPr>
                <w:rFonts w:eastAsiaTheme="minorEastAsia" w:cs="Arial"/>
                <w:bCs/>
                <w:sz w:val="20"/>
                <w:szCs w:val="20"/>
                <w:vertAlign w:val="superscript"/>
              </w:rPr>
              <w:t>d</w:t>
            </w:r>
            <w:proofErr w:type="spellEnd"/>
            <w:r w:rsidR="00D229BE" w:rsidRPr="00D229BE">
              <w:rPr>
                <w:rFonts w:eastAsiaTheme="minorEastAsia" w:cs="Arial"/>
                <w:bCs/>
                <w:sz w:val="20"/>
                <w:szCs w:val="20"/>
              </w:rPr>
              <w:t xml:space="preserve"> retained</w:t>
            </w:r>
            <w:r w:rsidR="00625D4A">
              <w:rPr>
                <w:rFonts w:eastAsiaTheme="minorEastAsia" w:cs="Arial"/>
                <w:bCs/>
                <w:sz w:val="20"/>
                <w:szCs w:val="20"/>
              </w:rPr>
              <w:t xml:space="preserve"> for a period of six months</w:t>
            </w:r>
            <w:r w:rsidR="00D229BE" w:rsidRPr="00D229BE">
              <w:rPr>
                <w:rFonts w:eastAsiaTheme="minorEastAsia" w:cs="Arial"/>
                <w:bCs/>
                <w:sz w:val="20"/>
                <w:szCs w:val="20"/>
              </w:rPr>
              <w:t>. (April 2020 baseline: no insurance against price increases in foodstuffs)</w:t>
            </w:r>
            <w:r>
              <w:rPr>
                <w:rFonts w:eastAsiaTheme="minorEastAsia" w:cs="Arial"/>
                <w:bCs/>
                <w:sz w:val="20"/>
                <w:szCs w:val="20"/>
              </w:rPr>
              <w:t xml:space="preserve">. </w:t>
            </w:r>
          </w:p>
          <w:p w14:paraId="25630108" w14:textId="622B6998" w:rsidR="00F871E0" w:rsidRDefault="00F871E0" w:rsidP="00EE7959">
            <w:pPr>
              <w:autoSpaceDE w:val="0"/>
              <w:autoSpaceDN w:val="0"/>
              <w:adjustRightInd w:val="0"/>
              <w:jc w:val="left"/>
              <w:rPr>
                <w:rFonts w:eastAsiaTheme="minorEastAsia" w:cs="Arial"/>
                <w:bCs/>
                <w:sz w:val="20"/>
                <w:szCs w:val="20"/>
              </w:rPr>
            </w:pPr>
          </w:p>
          <w:p w14:paraId="40B1C355" w14:textId="5EE31C95" w:rsidR="006E7178" w:rsidRPr="00EE7959" w:rsidRDefault="00F871E0" w:rsidP="00EE7959">
            <w:pPr>
              <w:autoSpaceDE w:val="0"/>
              <w:autoSpaceDN w:val="0"/>
              <w:adjustRightInd w:val="0"/>
              <w:jc w:val="left"/>
              <w:rPr>
                <w:rFonts w:eastAsiaTheme="minorEastAsia" w:cs="Arial"/>
                <w:bCs/>
                <w:sz w:val="20"/>
                <w:szCs w:val="20"/>
              </w:rPr>
            </w:pPr>
            <w:r>
              <w:rPr>
                <w:rFonts w:eastAsiaTheme="minorEastAsia" w:cs="Arial"/>
                <w:bCs/>
                <w:sz w:val="20"/>
                <w:szCs w:val="20"/>
              </w:rPr>
              <w:t>3.</w:t>
            </w:r>
            <w:r w:rsidR="00827111">
              <w:rPr>
                <w:rFonts w:eastAsiaTheme="minorEastAsia" w:cs="Arial"/>
                <w:bCs/>
                <w:sz w:val="20"/>
                <w:szCs w:val="20"/>
              </w:rPr>
              <w:t>6</w:t>
            </w:r>
            <w:r>
              <w:rPr>
                <w:rFonts w:eastAsiaTheme="minorEastAsia" w:cs="Arial"/>
                <w:bCs/>
                <w:sz w:val="20"/>
                <w:szCs w:val="20"/>
              </w:rPr>
              <w:t xml:space="preserve"> </w:t>
            </w:r>
            <w:r w:rsidR="00CD3386">
              <w:rPr>
                <w:rFonts w:eastAsiaTheme="minorEastAsia" w:cs="Arial"/>
                <w:bCs/>
                <w:sz w:val="20"/>
                <w:szCs w:val="20"/>
              </w:rPr>
              <w:t xml:space="preserve">At least 1.2 million families benefit from subsidized utility </w:t>
            </w:r>
            <w:r w:rsidR="00416EBA">
              <w:rPr>
                <w:rFonts w:eastAsiaTheme="minorEastAsia" w:cs="Arial"/>
                <w:bCs/>
                <w:sz w:val="20"/>
                <w:szCs w:val="20"/>
              </w:rPr>
              <w:t>bills</w:t>
            </w:r>
            <w:r w:rsidR="00CD3386">
              <w:rPr>
                <w:rFonts w:eastAsiaTheme="minorEastAsia" w:cs="Arial"/>
                <w:bCs/>
                <w:sz w:val="20"/>
                <w:szCs w:val="20"/>
              </w:rPr>
              <w:t xml:space="preserve"> for water, electricity and waste management for a period of up to three months. (</w:t>
            </w:r>
            <w:r w:rsidR="002978E2">
              <w:rPr>
                <w:rFonts w:eastAsiaTheme="minorEastAsia" w:cs="Arial"/>
                <w:bCs/>
                <w:sz w:val="20"/>
                <w:szCs w:val="20"/>
              </w:rPr>
              <w:t xml:space="preserve">April 2020 </w:t>
            </w:r>
            <w:r w:rsidR="00924B8B">
              <w:rPr>
                <w:rFonts w:eastAsiaTheme="minorEastAsia" w:cs="Arial"/>
                <w:bCs/>
                <w:sz w:val="20"/>
                <w:szCs w:val="20"/>
              </w:rPr>
              <w:t>b</w:t>
            </w:r>
            <w:r w:rsidR="00CD3386">
              <w:rPr>
                <w:rFonts w:eastAsiaTheme="minorEastAsia" w:cs="Arial"/>
                <w:bCs/>
                <w:sz w:val="20"/>
                <w:szCs w:val="20"/>
              </w:rPr>
              <w:t xml:space="preserve">aseline: </w:t>
            </w:r>
            <w:r w:rsidR="00924B8B">
              <w:rPr>
                <w:rFonts w:eastAsiaTheme="minorEastAsia" w:cs="Arial"/>
                <w:bCs/>
                <w:sz w:val="20"/>
                <w:szCs w:val="20"/>
              </w:rPr>
              <w:t>no program for subsidizing utility bills</w:t>
            </w:r>
            <w:r w:rsidR="00CD3386">
              <w:rPr>
                <w:rFonts w:eastAsiaTheme="minorEastAsia" w:cs="Arial"/>
                <w:bCs/>
                <w:sz w:val="20"/>
                <w:szCs w:val="20"/>
              </w:rPr>
              <w:t>)</w:t>
            </w:r>
          </w:p>
        </w:tc>
        <w:tc>
          <w:tcPr>
            <w:tcW w:w="2157" w:type="dxa"/>
            <w:tcBorders>
              <w:top w:val="single" w:sz="4" w:space="0" w:color="auto"/>
              <w:left w:val="single" w:sz="4" w:space="0" w:color="auto"/>
              <w:bottom w:val="single" w:sz="4" w:space="0" w:color="auto"/>
              <w:right w:val="single" w:sz="4" w:space="0" w:color="auto"/>
            </w:tcBorders>
          </w:tcPr>
          <w:p w14:paraId="1BCA58EA" w14:textId="1AB43989" w:rsidR="00924B8B"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lastRenderedPageBreak/>
              <w:t xml:space="preserve">3.1 </w:t>
            </w:r>
            <w:r w:rsidR="00401F3B">
              <w:rPr>
                <w:rFonts w:eastAsiaTheme="minorEastAsia" w:cs="Arial"/>
                <w:sz w:val="20"/>
                <w:szCs w:val="20"/>
              </w:rPr>
              <w:t xml:space="preserve">MOF sex-disaggregated report on beneficiaries submitted by December 2020 </w:t>
            </w:r>
          </w:p>
          <w:p w14:paraId="6B3AECA7" w14:textId="4033A45A" w:rsidR="00251F14" w:rsidRDefault="00251F14" w:rsidP="00EE7959">
            <w:pPr>
              <w:autoSpaceDE w:val="0"/>
              <w:autoSpaceDN w:val="0"/>
              <w:adjustRightInd w:val="0"/>
              <w:jc w:val="left"/>
              <w:rPr>
                <w:rFonts w:eastAsiaTheme="minorEastAsia" w:cs="Arial"/>
                <w:sz w:val="20"/>
                <w:szCs w:val="20"/>
              </w:rPr>
            </w:pPr>
          </w:p>
          <w:p w14:paraId="1834EB96" w14:textId="77777777" w:rsidR="008D595D" w:rsidRDefault="008D595D" w:rsidP="00EE7959">
            <w:pPr>
              <w:autoSpaceDE w:val="0"/>
              <w:autoSpaceDN w:val="0"/>
              <w:adjustRightInd w:val="0"/>
              <w:jc w:val="left"/>
              <w:rPr>
                <w:rFonts w:eastAsiaTheme="minorEastAsia" w:cs="Arial"/>
                <w:sz w:val="20"/>
                <w:szCs w:val="20"/>
              </w:rPr>
            </w:pPr>
          </w:p>
          <w:p w14:paraId="64A0B418" w14:textId="77777777" w:rsidR="00CF4FD5" w:rsidRDefault="00CF4FD5" w:rsidP="00EE7959">
            <w:pPr>
              <w:autoSpaceDE w:val="0"/>
              <w:autoSpaceDN w:val="0"/>
              <w:adjustRightInd w:val="0"/>
              <w:jc w:val="left"/>
              <w:rPr>
                <w:rFonts w:eastAsiaTheme="minorEastAsia" w:cs="Arial"/>
                <w:sz w:val="20"/>
                <w:szCs w:val="20"/>
              </w:rPr>
            </w:pPr>
          </w:p>
          <w:p w14:paraId="7248919C" w14:textId="77777777" w:rsidR="00924B8B" w:rsidRDefault="00924B8B" w:rsidP="00EE7959">
            <w:pPr>
              <w:autoSpaceDE w:val="0"/>
              <w:autoSpaceDN w:val="0"/>
              <w:adjustRightInd w:val="0"/>
              <w:jc w:val="left"/>
              <w:rPr>
                <w:rFonts w:eastAsiaTheme="minorEastAsia" w:cs="Arial"/>
                <w:sz w:val="20"/>
                <w:szCs w:val="20"/>
              </w:rPr>
            </w:pPr>
          </w:p>
          <w:p w14:paraId="6D78F797" w14:textId="2DEF1F74" w:rsidR="00924B8B"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 xml:space="preserve">3.2 </w:t>
            </w:r>
            <w:r w:rsidR="00401F3B">
              <w:rPr>
                <w:rFonts w:eastAsiaTheme="minorEastAsia" w:cs="Arial"/>
                <w:sz w:val="20"/>
                <w:szCs w:val="20"/>
              </w:rPr>
              <w:t>MOF submits sex-disaggregated report on number of beneficiaries by December 2020</w:t>
            </w:r>
            <w:r w:rsidR="006B3569">
              <w:rPr>
                <w:rFonts w:eastAsiaTheme="minorEastAsia" w:cs="Arial"/>
                <w:sz w:val="20"/>
                <w:szCs w:val="20"/>
              </w:rPr>
              <w:t xml:space="preserve"> </w:t>
            </w:r>
          </w:p>
          <w:p w14:paraId="526187F9" w14:textId="77777777" w:rsidR="00924B8B" w:rsidRDefault="00924B8B" w:rsidP="00EE7959">
            <w:pPr>
              <w:autoSpaceDE w:val="0"/>
              <w:autoSpaceDN w:val="0"/>
              <w:adjustRightInd w:val="0"/>
              <w:jc w:val="left"/>
              <w:rPr>
                <w:rFonts w:eastAsiaTheme="minorEastAsia" w:cs="Arial"/>
                <w:sz w:val="20"/>
                <w:szCs w:val="20"/>
              </w:rPr>
            </w:pPr>
          </w:p>
          <w:p w14:paraId="5542AE56" w14:textId="40E76A26" w:rsidR="00401F3B" w:rsidRDefault="00401F3B" w:rsidP="00EE7959">
            <w:pPr>
              <w:autoSpaceDE w:val="0"/>
              <w:autoSpaceDN w:val="0"/>
              <w:adjustRightInd w:val="0"/>
              <w:jc w:val="left"/>
              <w:rPr>
                <w:rFonts w:eastAsiaTheme="minorEastAsia" w:cs="Arial"/>
                <w:sz w:val="20"/>
                <w:szCs w:val="20"/>
              </w:rPr>
            </w:pPr>
          </w:p>
          <w:p w14:paraId="025DB83C" w14:textId="1C1055C1" w:rsidR="00BB668B" w:rsidRDefault="00BB668B" w:rsidP="26ACB371">
            <w:pPr>
              <w:autoSpaceDE w:val="0"/>
              <w:autoSpaceDN w:val="0"/>
              <w:adjustRightInd w:val="0"/>
              <w:jc w:val="left"/>
              <w:rPr>
                <w:rFonts w:eastAsiaTheme="minorEastAsia" w:cs="Arial"/>
                <w:sz w:val="20"/>
                <w:szCs w:val="20"/>
              </w:rPr>
            </w:pPr>
          </w:p>
          <w:p w14:paraId="7A673974" w14:textId="77777777" w:rsidR="00DD358E" w:rsidRDefault="00DD358E" w:rsidP="26ACB371">
            <w:pPr>
              <w:autoSpaceDE w:val="0"/>
              <w:autoSpaceDN w:val="0"/>
              <w:adjustRightInd w:val="0"/>
              <w:jc w:val="left"/>
              <w:rPr>
                <w:rFonts w:eastAsiaTheme="minorEastAsia" w:cs="Arial"/>
                <w:sz w:val="20"/>
                <w:szCs w:val="20"/>
              </w:rPr>
            </w:pPr>
          </w:p>
          <w:p w14:paraId="0A95C9BA" w14:textId="77777777" w:rsidR="00DD358E" w:rsidRDefault="00DD358E" w:rsidP="26ACB371">
            <w:pPr>
              <w:autoSpaceDE w:val="0"/>
              <w:autoSpaceDN w:val="0"/>
              <w:adjustRightInd w:val="0"/>
              <w:jc w:val="left"/>
              <w:rPr>
                <w:rFonts w:eastAsiaTheme="minorEastAsia" w:cs="Arial"/>
                <w:sz w:val="20"/>
                <w:szCs w:val="20"/>
              </w:rPr>
            </w:pPr>
          </w:p>
          <w:p w14:paraId="12FFD70F" w14:textId="4EE26D46" w:rsidR="002F3CB9" w:rsidRDefault="002F3CB9" w:rsidP="26ACB371">
            <w:pPr>
              <w:autoSpaceDE w:val="0"/>
              <w:autoSpaceDN w:val="0"/>
              <w:adjustRightInd w:val="0"/>
              <w:jc w:val="left"/>
              <w:rPr>
                <w:rFonts w:eastAsiaTheme="minorEastAsia" w:cs="Arial"/>
                <w:sz w:val="20"/>
                <w:szCs w:val="20"/>
              </w:rPr>
            </w:pPr>
          </w:p>
          <w:p w14:paraId="5F86FEF4" w14:textId="77777777" w:rsidR="00477233" w:rsidRDefault="00477233" w:rsidP="26ACB371">
            <w:pPr>
              <w:autoSpaceDE w:val="0"/>
              <w:autoSpaceDN w:val="0"/>
              <w:adjustRightInd w:val="0"/>
              <w:jc w:val="left"/>
              <w:rPr>
                <w:rFonts w:eastAsiaTheme="minorEastAsia" w:cs="Arial"/>
                <w:sz w:val="20"/>
                <w:szCs w:val="20"/>
              </w:rPr>
            </w:pPr>
          </w:p>
          <w:p w14:paraId="2ABA12C7" w14:textId="09A3DE25" w:rsidR="006E7178" w:rsidRPr="00EE7959"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3.3</w:t>
            </w:r>
            <w:r w:rsidR="001442F4">
              <w:rPr>
                <w:rFonts w:eastAsiaTheme="minorEastAsia" w:cs="Arial"/>
                <w:sz w:val="20"/>
                <w:szCs w:val="20"/>
              </w:rPr>
              <w:t xml:space="preserve"> </w:t>
            </w:r>
            <w:r w:rsidR="00401F3B">
              <w:rPr>
                <w:rFonts w:eastAsiaTheme="minorEastAsia" w:cs="Arial"/>
                <w:sz w:val="20"/>
                <w:szCs w:val="20"/>
              </w:rPr>
              <w:t>MOF sex-disaggregated</w:t>
            </w:r>
            <w:r>
              <w:rPr>
                <w:rFonts w:eastAsiaTheme="minorEastAsia" w:cs="Arial"/>
                <w:sz w:val="20"/>
                <w:szCs w:val="20"/>
              </w:rPr>
              <w:t xml:space="preserve"> report </w:t>
            </w:r>
            <w:r w:rsidR="00401F3B">
              <w:rPr>
                <w:rFonts w:eastAsiaTheme="minorEastAsia" w:cs="Arial"/>
                <w:sz w:val="20"/>
                <w:szCs w:val="20"/>
              </w:rPr>
              <w:t xml:space="preserve">on number of beneficiaries </w:t>
            </w:r>
            <w:r w:rsidR="00B65E7F">
              <w:rPr>
                <w:rFonts w:eastAsiaTheme="minorEastAsia" w:cs="Arial"/>
                <w:sz w:val="20"/>
                <w:szCs w:val="20"/>
              </w:rPr>
              <w:t>submitted by</w:t>
            </w:r>
            <w:r w:rsidR="00401F3B">
              <w:rPr>
                <w:rFonts w:eastAsiaTheme="minorEastAsia" w:cs="Arial"/>
                <w:sz w:val="20"/>
                <w:szCs w:val="20"/>
              </w:rPr>
              <w:t xml:space="preserve"> December 2020</w:t>
            </w:r>
          </w:p>
          <w:p w14:paraId="008E36A0" w14:textId="77777777" w:rsidR="00866845" w:rsidRDefault="00866845" w:rsidP="00EE7959">
            <w:pPr>
              <w:autoSpaceDE w:val="0"/>
              <w:autoSpaceDN w:val="0"/>
              <w:adjustRightInd w:val="0"/>
              <w:jc w:val="left"/>
              <w:rPr>
                <w:rFonts w:eastAsiaTheme="minorEastAsia" w:cs="Arial"/>
                <w:sz w:val="20"/>
                <w:szCs w:val="20"/>
              </w:rPr>
            </w:pPr>
          </w:p>
          <w:p w14:paraId="7479B51E" w14:textId="77777777" w:rsidR="005C3021" w:rsidRDefault="005C3021" w:rsidP="00EE7959">
            <w:pPr>
              <w:autoSpaceDE w:val="0"/>
              <w:autoSpaceDN w:val="0"/>
              <w:adjustRightInd w:val="0"/>
              <w:jc w:val="left"/>
              <w:rPr>
                <w:rFonts w:eastAsiaTheme="minorEastAsia" w:cs="Arial"/>
                <w:sz w:val="20"/>
                <w:szCs w:val="20"/>
              </w:rPr>
            </w:pPr>
          </w:p>
          <w:p w14:paraId="2ACAB6E2" w14:textId="699564DF" w:rsidR="00924B8B"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3.</w:t>
            </w:r>
            <w:r w:rsidR="00A570D4">
              <w:rPr>
                <w:rFonts w:eastAsiaTheme="minorEastAsia" w:cs="Arial"/>
                <w:sz w:val="20"/>
                <w:szCs w:val="20"/>
              </w:rPr>
              <w:t>4</w:t>
            </w:r>
            <w:r>
              <w:rPr>
                <w:rFonts w:eastAsiaTheme="minorEastAsia" w:cs="Arial"/>
                <w:sz w:val="20"/>
                <w:szCs w:val="20"/>
              </w:rPr>
              <w:t xml:space="preserve"> </w:t>
            </w:r>
            <w:r w:rsidR="00B65E7F">
              <w:rPr>
                <w:rFonts w:eastAsiaTheme="minorEastAsia" w:cs="Arial"/>
                <w:sz w:val="20"/>
                <w:szCs w:val="20"/>
              </w:rPr>
              <w:t>MOF s</w:t>
            </w:r>
            <w:r w:rsidR="00401F3B">
              <w:rPr>
                <w:rFonts w:eastAsiaTheme="minorEastAsia" w:cs="Arial"/>
                <w:sz w:val="20"/>
                <w:szCs w:val="20"/>
              </w:rPr>
              <w:t xml:space="preserve">ex-disaggregated report is submitted by December 2020 </w:t>
            </w:r>
          </w:p>
          <w:p w14:paraId="02E64192" w14:textId="77777777" w:rsidR="00924B8B" w:rsidRDefault="00924B8B" w:rsidP="00EE7959">
            <w:pPr>
              <w:autoSpaceDE w:val="0"/>
              <w:autoSpaceDN w:val="0"/>
              <w:adjustRightInd w:val="0"/>
              <w:jc w:val="left"/>
              <w:rPr>
                <w:rFonts w:eastAsiaTheme="minorEastAsia" w:cs="Arial"/>
                <w:sz w:val="20"/>
                <w:szCs w:val="20"/>
              </w:rPr>
            </w:pPr>
          </w:p>
          <w:p w14:paraId="4D4A3248" w14:textId="77777777" w:rsidR="00866845" w:rsidRDefault="00866845" w:rsidP="00EE7959">
            <w:pPr>
              <w:autoSpaceDE w:val="0"/>
              <w:autoSpaceDN w:val="0"/>
              <w:adjustRightInd w:val="0"/>
              <w:jc w:val="left"/>
              <w:rPr>
                <w:rFonts w:eastAsiaTheme="minorEastAsia" w:cs="Arial"/>
                <w:sz w:val="20"/>
                <w:szCs w:val="20"/>
              </w:rPr>
            </w:pPr>
          </w:p>
          <w:p w14:paraId="5C49084F" w14:textId="77777777" w:rsidR="00924B8B" w:rsidRDefault="00924B8B" w:rsidP="00EE7959">
            <w:pPr>
              <w:autoSpaceDE w:val="0"/>
              <w:autoSpaceDN w:val="0"/>
              <w:adjustRightInd w:val="0"/>
              <w:jc w:val="left"/>
              <w:rPr>
                <w:rFonts w:eastAsiaTheme="minorEastAsia" w:cs="Arial"/>
                <w:sz w:val="20"/>
                <w:szCs w:val="20"/>
              </w:rPr>
            </w:pPr>
          </w:p>
          <w:p w14:paraId="1033EFF9" w14:textId="77777777" w:rsidR="00924B8B" w:rsidRDefault="00924B8B" w:rsidP="00EE7959">
            <w:pPr>
              <w:autoSpaceDE w:val="0"/>
              <w:autoSpaceDN w:val="0"/>
              <w:adjustRightInd w:val="0"/>
              <w:jc w:val="left"/>
              <w:rPr>
                <w:rFonts w:eastAsiaTheme="minorEastAsia" w:cs="Arial"/>
                <w:sz w:val="20"/>
                <w:szCs w:val="20"/>
              </w:rPr>
            </w:pPr>
          </w:p>
          <w:p w14:paraId="5D5313C1" w14:textId="77777777" w:rsidR="001B7758" w:rsidRDefault="001B7758" w:rsidP="00EE7959">
            <w:pPr>
              <w:autoSpaceDE w:val="0"/>
              <w:autoSpaceDN w:val="0"/>
              <w:adjustRightInd w:val="0"/>
              <w:jc w:val="left"/>
              <w:rPr>
                <w:rFonts w:eastAsiaTheme="minorEastAsia" w:cs="Arial"/>
                <w:sz w:val="20"/>
                <w:szCs w:val="20"/>
              </w:rPr>
            </w:pPr>
          </w:p>
          <w:p w14:paraId="678370E9" w14:textId="77777777" w:rsidR="00D17485" w:rsidRDefault="00D17485" w:rsidP="00EE7959">
            <w:pPr>
              <w:autoSpaceDE w:val="0"/>
              <w:autoSpaceDN w:val="0"/>
              <w:adjustRightInd w:val="0"/>
              <w:jc w:val="left"/>
              <w:rPr>
                <w:rFonts w:eastAsiaTheme="minorEastAsia" w:cs="Arial"/>
                <w:sz w:val="20"/>
                <w:szCs w:val="20"/>
              </w:rPr>
            </w:pPr>
          </w:p>
          <w:p w14:paraId="0F0051F1" w14:textId="77777777" w:rsidR="003A63E6" w:rsidRDefault="003A63E6" w:rsidP="00EE7959">
            <w:pPr>
              <w:autoSpaceDE w:val="0"/>
              <w:autoSpaceDN w:val="0"/>
              <w:adjustRightInd w:val="0"/>
              <w:jc w:val="left"/>
              <w:rPr>
                <w:rFonts w:eastAsiaTheme="minorEastAsia" w:cs="Arial"/>
                <w:sz w:val="20"/>
                <w:szCs w:val="20"/>
              </w:rPr>
            </w:pPr>
          </w:p>
          <w:p w14:paraId="07D1A4FC" w14:textId="7C18F800" w:rsidR="00924B8B"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3.</w:t>
            </w:r>
            <w:r w:rsidR="009A24AF">
              <w:rPr>
                <w:rFonts w:eastAsiaTheme="minorEastAsia" w:cs="Arial"/>
                <w:sz w:val="20"/>
                <w:szCs w:val="20"/>
              </w:rPr>
              <w:t>5</w:t>
            </w:r>
            <w:r>
              <w:rPr>
                <w:rFonts w:eastAsiaTheme="minorEastAsia" w:cs="Arial"/>
                <w:sz w:val="20"/>
                <w:szCs w:val="20"/>
              </w:rPr>
              <w:t xml:space="preserve"> </w:t>
            </w:r>
            <w:r w:rsidR="006B3569">
              <w:rPr>
                <w:rFonts w:eastAsiaTheme="minorEastAsia" w:cs="Arial"/>
                <w:sz w:val="20"/>
                <w:szCs w:val="20"/>
              </w:rPr>
              <w:t xml:space="preserve">Quarterly </w:t>
            </w:r>
            <w:r w:rsidR="005408FE">
              <w:rPr>
                <w:rFonts w:eastAsiaTheme="minorEastAsia" w:cs="Arial"/>
                <w:sz w:val="20"/>
                <w:szCs w:val="20"/>
              </w:rPr>
              <w:t>National Statistics Office of Georgia</w:t>
            </w:r>
            <w:r>
              <w:rPr>
                <w:rFonts w:eastAsiaTheme="minorEastAsia" w:cs="Arial"/>
                <w:sz w:val="20"/>
                <w:szCs w:val="20"/>
              </w:rPr>
              <w:t xml:space="preserve"> report</w:t>
            </w:r>
            <w:r w:rsidR="005408FE">
              <w:rPr>
                <w:rFonts w:eastAsiaTheme="minorEastAsia" w:cs="Arial"/>
                <w:sz w:val="20"/>
                <w:szCs w:val="20"/>
              </w:rPr>
              <w:t xml:space="preserve"> on CPI</w:t>
            </w:r>
          </w:p>
          <w:p w14:paraId="556F1BA7" w14:textId="77777777" w:rsidR="003A63E6" w:rsidRDefault="003A63E6" w:rsidP="00EE7959">
            <w:pPr>
              <w:autoSpaceDE w:val="0"/>
              <w:autoSpaceDN w:val="0"/>
              <w:adjustRightInd w:val="0"/>
              <w:jc w:val="left"/>
              <w:rPr>
                <w:rFonts w:eastAsiaTheme="minorEastAsia" w:cs="Arial"/>
                <w:sz w:val="20"/>
                <w:szCs w:val="20"/>
              </w:rPr>
            </w:pPr>
          </w:p>
          <w:p w14:paraId="6533370D" w14:textId="77777777" w:rsidR="005072CD" w:rsidRDefault="005072CD" w:rsidP="00EE7959">
            <w:pPr>
              <w:autoSpaceDE w:val="0"/>
              <w:autoSpaceDN w:val="0"/>
              <w:adjustRightInd w:val="0"/>
              <w:jc w:val="left"/>
              <w:rPr>
                <w:rFonts w:eastAsiaTheme="minorEastAsia" w:cs="Arial"/>
                <w:sz w:val="20"/>
                <w:szCs w:val="20"/>
              </w:rPr>
            </w:pPr>
          </w:p>
          <w:p w14:paraId="0B7B6929" w14:textId="636FE16C" w:rsidR="00924B8B" w:rsidRDefault="00924B8B" w:rsidP="00EE7959">
            <w:pPr>
              <w:autoSpaceDE w:val="0"/>
              <w:autoSpaceDN w:val="0"/>
              <w:adjustRightInd w:val="0"/>
              <w:jc w:val="left"/>
              <w:rPr>
                <w:rFonts w:eastAsiaTheme="minorEastAsia" w:cs="Arial"/>
                <w:sz w:val="20"/>
                <w:szCs w:val="20"/>
              </w:rPr>
            </w:pPr>
            <w:r>
              <w:rPr>
                <w:rFonts w:eastAsiaTheme="minorEastAsia" w:cs="Arial"/>
                <w:sz w:val="20"/>
                <w:szCs w:val="20"/>
              </w:rPr>
              <w:t>3.</w:t>
            </w:r>
            <w:r w:rsidR="00827111">
              <w:rPr>
                <w:rFonts w:eastAsiaTheme="minorEastAsia" w:cs="Arial"/>
                <w:sz w:val="20"/>
                <w:szCs w:val="20"/>
              </w:rPr>
              <w:t>6</w:t>
            </w:r>
            <w:r>
              <w:rPr>
                <w:rFonts w:eastAsiaTheme="minorEastAsia" w:cs="Arial"/>
                <w:sz w:val="20"/>
                <w:szCs w:val="20"/>
              </w:rPr>
              <w:t xml:space="preserve"> </w:t>
            </w:r>
            <w:r w:rsidR="00C17E24">
              <w:rPr>
                <w:rFonts w:eastAsiaTheme="minorEastAsia" w:cs="Arial"/>
                <w:sz w:val="20"/>
                <w:szCs w:val="20"/>
              </w:rPr>
              <w:t>MOF report submitted by December 2020</w:t>
            </w:r>
            <w:r w:rsidR="003A63E6">
              <w:rPr>
                <w:rFonts w:eastAsiaTheme="minorEastAsia" w:cs="Arial"/>
                <w:sz w:val="20"/>
                <w:szCs w:val="20"/>
              </w:rPr>
              <w:t xml:space="preserve"> </w:t>
            </w:r>
          </w:p>
          <w:p w14:paraId="7E9F7522" w14:textId="14980028" w:rsidR="00924B8B" w:rsidRPr="000D3736" w:rsidRDefault="00924B8B" w:rsidP="00EE7959">
            <w:pPr>
              <w:autoSpaceDE w:val="0"/>
              <w:autoSpaceDN w:val="0"/>
              <w:adjustRightInd w:val="0"/>
              <w:jc w:val="left"/>
              <w:rPr>
                <w:rFonts w:eastAsiaTheme="minorEastAsia" w:cs="Arial"/>
                <w:sz w:val="20"/>
                <w:szCs w:val="20"/>
              </w:rPr>
            </w:pPr>
          </w:p>
        </w:tc>
        <w:tc>
          <w:tcPr>
            <w:tcW w:w="2167" w:type="dxa"/>
            <w:tcBorders>
              <w:top w:val="single" w:sz="4" w:space="0" w:color="auto"/>
              <w:left w:val="single" w:sz="4" w:space="0" w:color="auto"/>
              <w:bottom w:val="single" w:sz="4" w:space="0" w:color="auto"/>
              <w:right w:val="single" w:sz="4" w:space="0" w:color="auto"/>
            </w:tcBorders>
          </w:tcPr>
          <w:p w14:paraId="50672BB4" w14:textId="65BF3892" w:rsidR="00926637" w:rsidRPr="00EE7959" w:rsidRDefault="00926637" w:rsidP="00926637">
            <w:pPr>
              <w:autoSpaceDE w:val="0"/>
              <w:autoSpaceDN w:val="0"/>
              <w:adjustRightInd w:val="0"/>
              <w:jc w:val="left"/>
              <w:rPr>
                <w:rFonts w:eastAsiaTheme="minorEastAsia" w:cs="Arial"/>
                <w:sz w:val="20"/>
                <w:szCs w:val="20"/>
              </w:rPr>
            </w:pPr>
          </w:p>
          <w:p w14:paraId="465D90B6" w14:textId="20BC9F67" w:rsidR="007E2970" w:rsidRPr="00EE7959" w:rsidRDefault="007E2970" w:rsidP="00B56E32">
            <w:pPr>
              <w:autoSpaceDE w:val="0"/>
              <w:autoSpaceDN w:val="0"/>
              <w:adjustRightInd w:val="0"/>
              <w:jc w:val="left"/>
              <w:rPr>
                <w:rFonts w:eastAsiaTheme="minorEastAsia" w:cs="Arial"/>
                <w:sz w:val="20"/>
                <w:szCs w:val="20"/>
              </w:rPr>
            </w:pPr>
          </w:p>
        </w:tc>
      </w:tr>
    </w:tbl>
    <w:p w14:paraId="51F5A966" w14:textId="77777777" w:rsidR="003D7875" w:rsidRPr="003D7875" w:rsidRDefault="003D7875" w:rsidP="003D7875">
      <w:pPr>
        <w:jc w:val="left"/>
        <w:rPr>
          <w:rFonts w:eastAsiaTheme="minorEastAsia" w:cs="Arial"/>
          <w:sz w:val="2"/>
          <w:szCs w:val="2"/>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5"/>
      </w:tblGrid>
      <w:tr w:rsidR="004042EF" w:rsidRPr="003D7875" w14:paraId="459E0F7F" w14:textId="77777777" w:rsidTr="00940C2B">
        <w:trPr>
          <w:cantSplit/>
          <w:trHeight w:val="684"/>
          <w:jc w:val="center"/>
        </w:trPr>
        <w:tc>
          <w:tcPr>
            <w:tcW w:w="9805" w:type="dxa"/>
            <w:tcBorders>
              <w:top w:val="single" w:sz="4" w:space="0" w:color="auto"/>
            </w:tcBorders>
          </w:tcPr>
          <w:p w14:paraId="722B1611" w14:textId="77777777" w:rsidR="003D7875" w:rsidRPr="003D7875" w:rsidRDefault="00FC24D4" w:rsidP="003D7875">
            <w:pPr>
              <w:spacing w:after="120"/>
              <w:jc w:val="left"/>
              <w:rPr>
                <w:rFonts w:eastAsiaTheme="minorEastAsia"/>
                <w:b/>
                <w:sz w:val="20"/>
              </w:rPr>
            </w:pPr>
            <w:bookmarkStart w:id="38" w:name="_Hlk37484682"/>
            <w:r>
              <w:rPr>
                <w:rFonts w:eastAsiaTheme="minorEastAsia" w:cs="Arial"/>
                <w:b/>
                <w:bCs/>
                <w:sz w:val="20"/>
              </w:rPr>
              <w:t xml:space="preserve">Budget </w:t>
            </w:r>
            <w:r w:rsidR="003D7875" w:rsidRPr="003D7875">
              <w:rPr>
                <w:rFonts w:eastAsiaTheme="minorEastAsia" w:cs="Arial"/>
                <w:b/>
                <w:bCs/>
                <w:sz w:val="20"/>
              </w:rPr>
              <w:t>Support</w:t>
            </w:r>
          </w:p>
          <w:p w14:paraId="17237076" w14:textId="49EBB17A" w:rsidR="003D7875" w:rsidRPr="0068607B" w:rsidRDefault="003D7875" w:rsidP="003D7875">
            <w:pPr>
              <w:spacing w:after="120"/>
              <w:jc w:val="left"/>
              <w:rPr>
                <w:rFonts w:eastAsiaTheme="minorEastAsia"/>
                <w:sz w:val="20"/>
              </w:rPr>
            </w:pPr>
            <w:r w:rsidRPr="003D7875">
              <w:rPr>
                <w:rFonts w:eastAsiaTheme="minorEastAsia"/>
                <w:sz w:val="20"/>
              </w:rPr>
              <w:t>A</w:t>
            </w:r>
            <w:r w:rsidR="00C46FC2">
              <w:rPr>
                <w:rFonts w:eastAsiaTheme="minorEastAsia"/>
                <w:sz w:val="20"/>
              </w:rPr>
              <w:t xml:space="preserve">sian </w:t>
            </w:r>
            <w:r w:rsidRPr="003D7875">
              <w:rPr>
                <w:rFonts w:eastAsiaTheme="minorEastAsia"/>
                <w:sz w:val="20"/>
              </w:rPr>
              <w:t>D</w:t>
            </w:r>
            <w:r w:rsidR="00C46FC2">
              <w:rPr>
                <w:rFonts w:eastAsiaTheme="minorEastAsia"/>
                <w:sz w:val="20"/>
              </w:rPr>
              <w:t xml:space="preserve">evelopment </w:t>
            </w:r>
            <w:r w:rsidRPr="003D7875">
              <w:rPr>
                <w:rFonts w:eastAsiaTheme="minorEastAsia"/>
                <w:sz w:val="20"/>
              </w:rPr>
              <w:t>B</w:t>
            </w:r>
            <w:r w:rsidR="00C46FC2">
              <w:rPr>
                <w:rFonts w:eastAsiaTheme="minorEastAsia"/>
                <w:sz w:val="20"/>
              </w:rPr>
              <w:t>ank</w:t>
            </w:r>
            <w:r w:rsidRPr="003D7875">
              <w:rPr>
                <w:rFonts w:eastAsiaTheme="minorEastAsia"/>
                <w:sz w:val="20"/>
              </w:rPr>
              <w:t>: $</w:t>
            </w:r>
            <w:r w:rsidR="000C32F3">
              <w:rPr>
                <w:rFonts w:eastAsiaTheme="minorEastAsia"/>
                <w:sz w:val="20"/>
              </w:rPr>
              <w:t>100,000,000</w:t>
            </w:r>
            <w:r w:rsidR="001442F4">
              <w:rPr>
                <w:rFonts w:eastAsiaTheme="minorEastAsia"/>
                <w:sz w:val="20"/>
              </w:rPr>
              <w:t xml:space="preserve"> (loan)</w:t>
            </w:r>
          </w:p>
        </w:tc>
      </w:tr>
    </w:tbl>
    <w:bookmarkEnd w:id="38"/>
    <w:p w14:paraId="56DFEF69" w14:textId="52BE5217" w:rsidR="00281FCB" w:rsidRPr="00281FCB" w:rsidRDefault="008314DD" w:rsidP="00F454A9">
      <w:pPr>
        <w:ind w:left="284" w:hanging="284"/>
        <w:rPr>
          <w:rFonts w:eastAsiaTheme="minorEastAsia"/>
          <w:sz w:val="18"/>
          <w:szCs w:val="18"/>
        </w:rPr>
      </w:pPr>
      <w:r w:rsidRPr="008314DD">
        <w:rPr>
          <w:rFonts w:eastAsiaTheme="minorEastAsia"/>
          <w:sz w:val="18"/>
          <w:szCs w:val="18"/>
          <w:vertAlign w:val="superscript"/>
        </w:rPr>
        <w:t>a</w:t>
      </w:r>
      <w:r>
        <w:rPr>
          <w:rFonts w:eastAsiaTheme="minorEastAsia"/>
          <w:sz w:val="18"/>
          <w:szCs w:val="18"/>
          <w:vertAlign w:val="superscript"/>
        </w:rPr>
        <w:tab/>
      </w:r>
      <w:r>
        <w:rPr>
          <w:rFonts w:eastAsiaTheme="minorEastAsia"/>
          <w:sz w:val="18"/>
          <w:szCs w:val="18"/>
        </w:rPr>
        <w:t xml:space="preserve">Government of Georgia. </w:t>
      </w:r>
      <w:r w:rsidR="00186A1C" w:rsidRPr="00186A1C">
        <w:rPr>
          <w:rFonts w:eastAsiaTheme="minorEastAsia"/>
          <w:i/>
          <w:iCs/>
          <w:sz w:val="18"/>
          <w:szCs w:val="18"/>
        </w:rPr>
        <w:t>Social-economic Development Strategy “Georgia 2020”</w:t>
      </w:r>
      <w:r w:rsidR="00186A1C">
        <w:rPr>
          <w:rFonts w:eastAsiaTheme="minorEastAsia"/>
          <w:i/>
          <w:iCs/>
          <w:sz w:val="18"/>
          <w:szCs w:val="18"/>
        </w:rPr>
        <w:t xml:space="preserve">. </w:t>
      </w:r>
      <w:r w:rsidR="00186A1C">
        <w:rPr>
          <w:rFonts w:eastAsiaTheme="minorEastAsia"/>
          <w:sz w:val="18"/>
          <w:szCs w:val="18"/>
        </w:rPr>
        <w:t>Tbilisi.</w:t>
      </w:r>
    </w:p>
    <w:p w14:paraId="0A93F958" w14:textId="0EC75A65" w:rsidR="00BC5F1A" w:rsidRDefault="00C60EFD" w:rsidP="00F454A9">
      <w:pPr>
        <w:ind w:left="284" w:hanging="284"/>
        <w:rPr>
          <w:rFonts w:eastAsiaTheme="minorEastAsia"/>
          <w:sz w:val="18"/>
          <w:szCs w:val="18"/>
        </w:rPr>
      </w:pPr>
      <w:r w:rsidRPr="00102C99">
        <w:rPr>
          <w:rFonts w:eastAsiaTheme="minorEastAsia" w:cs="Arial"/>
          <w:bCs/>
          <w:sz w:val="20"/>
          <w:szCs w:val="20"/>
          <w:vertAlign w:val="superscript"/>
        </w:rPr>
        <w:t>b</w:t>
      </w:r>
      <w:r w:rsidRPr="00102C99">
        <w:rPr>
          <w:rFonts w:eastAsiaTheme="minorEastAsia"/>
          <w:sz w:val="18"/>
          <w:szCs w:val="18"/>
        </w:rPr>
        <w:t xml:space="preserve"> </w:t>
      </w:r>
      <w:r>
        <w:rPr>
          <w:rFonts w:eastAsiaTheme="minorEastAsia"/>
          <w:sz w:val="18"/>
          <w:szCs w:val="18"/>
        </w:rPr>
        <w:t xml:space="preserve"> </w:t>
      </w:r>
      <w:r w:rsidR="00F454A9">
        <w:rPr>
          <w:rFonts w:eastAsiaTheme="minorEastAsia"/>
          <w:sz w:val="18"/>
          <w:szCs w:val="18"/>
        </w:rPr>
        <w:tab/>
      </w:r>
      <w:r w:rsidR="00102C99" w:rsidRPr="00102C99">
        <w:rPr>
          <w:rFonts w:eastAsiaTheme="minorEastAsia"/>
          <w:sz w:val="18"/>
          <w:szCs w:val="18"/>
        </w:rPr>
        <w:t>Due to uncertainties in how the outbreak will unfold, its economic effects, the need for government responses to be flexible as the situation evolves, and because new data collection and reporting systems to monitor the crisis are being developed and evolving, it is not yet possible to set more specific and realistic effect of the program targets than those presented in the DMF. Additional indicators to measure the effects will be identified at a later stage and used to report on the program’s effectiveness as comprehensively as possible in the project completion report.</w:t>
      </w:r>
    </w:p>
    <w:p w14:paraId="404F1C30" w14:textId="10E39C07" w:rsidR="001E07DE" w:rsidRDefault="001E07DE" w:rsidP="00F454A9">
      <w:pPr>
        <w:ind w:left="284" w:hanging="284"/>
        <w:rPr>
          <w:rFonts w:eastAsiaTheme="minorEastAsia" w:cs="Arial"/>
          <w:bCs/>
          <w:sz w:val="20"/>
          <w:szCs w:val="20"/>
        </w:rPr>
      </w:pPr>
      <w:proofErr w:type="gramStart"/>
      <w:r w:rsidRPr="001E07DE">
        <w:rPr>
          <w:rFonts w:eastAsiaTheme="minorEastAsia" w:cs="Arial"/>
          <w:bCs/>
          <w:sz w:val="20"/>
          <w:szCs w:val="20"/>
          <w:vertAlign w:val="superscript"/>
        </w:rPr>
        <w:t>c</w:t>
      </w:r>
      <w:r>
        <w:rPr>
          <w:rFonts w:eastAsiaTheme="minorEastAsia" w:cs="Arial"/>
          <w:bCs/>
          <w:sz w:val="20"/>
          <w:szCs w:val="20"/>
          <w:vertAlign w:val="superscript"/>
        </w:rPr>
        <w:t xml:space="preserve">  </w:t>
      </w:r>
      <w:r w:rsidR="00F454A9">
        <w:rPr>
          <w:rFonts w:eastAsiaTheme="minorEastAsia" w:cs="Arial"/>
          <w:bCs/>
          <w:sz w:val="20"/>
          <w:szCs w:val="20"/>
          <w:vertAlign w:val="superscript"/>
        </w:rPr>
        <w:tab/>
      </w:r>
      <w:proofErr w:type="gramEnd"/>
      <w:r w:rsidR="000902DA" w:rsidRPr="00880ECA">
        <w:rPr>
          <w:rFonts w:eastAsiaTheme="minorEastAsia" w:cs="Arial"/>
          <w:bCs/>
          <w:sz w:val="18"/>
          <w:szCs w:val="18"/>
        </w:rPr>
        <w:t xml:space="preserve">Hotels with </w:t>
      </w:r>
      <w:r w:rsidR="003019BF">
        <w:rPr>
          <w:rFonts w:eastAsiaTheme="minorEastAsia" w:cs="Arial"/>
          <w:bCs/>
          <w:sz w:val="18"/>
          <w:szCs w:val="18"/>
        </w:rPr>
        <w:t xml:space="preserve">up to and </w:t>
      </w:r>
      <w:bookmarkStart w:id="39" w:name="_Hlk39663810"/>
      <w:r w:rsidR="003019BF">
        <w:rPr>
          <w:rFonts w:eastAsiaTheme="minorEastAsia" w:cs="Arial"/>
          <w:bCs/>
          <w:sz w:val="18"/>
          <w:szCs w:val="18"/>
        </w:rPr>
        <w:t xml:space="preserve">including </w:t>
      </w:r>
      <w:bookmarkEnd w:id="39"/>
      <w:r w:rsidR="00880ECA" w:rsidRPr="00880ECA">
        <w:rPr>
          <w:rFonts w:eastAsiaTheme="minorEastAsia" w:cs="Arial"/>
          <w:bCs/>
          <w:sz w:val="18"/>
          <w:szCs w:val="18"/>
        </w:rPr>
        <w:t xml:space="preserve">50 </w:t>
      </w:r>
      <w:r w:rsidR="003019BF" w:rsidRPr="00880ECA">
        <w:rPr>
          <w:rFonts w:eastAsiaTheme="minorEastAsia" w:cs="Arial"/>
          <w:bCs/>
          <w:sz w:val="18"/>
          <w:szCs w:val="18"/>
        </w:rPr>
        <w:t>rooms</w:t>
      </w:r>
      <w:r w:rsidR="00880ECA">
        <w:rPr>
          <w:rFonts w:eastAsiaTheme="minorEastAsia" w:cs="Arial"/>
          <w:bCs/>
          <w:sz w:val="20"/>
          <w:szCs w:val="20"/>
        </w:rPr>
        <w:t>.</w:t>
      </w:r>
    </w:p>
    <w:p w14:paraId="20E2A539" w14:textId="1670822D" w:rsidR="005A3C6F" w:rsidRPr="005A3C6F" w:rsidRDefault="005A3C6F" w:rsidP="00F454A9">
      <w:pPr>
        <w:ind w:left="284" w:hanging="284"/>
        <w:rPr>
          <w:rFonts w:eastAsiaTheme="minorEastAsia"/>
          <w:sz w:val="18"/>
          <w:szCs w:val="18"/>
        </w:rPr>
      </w:pPr>
      <w:r w:rsidRPr="005A3C6F">
        <w:rPr>
          <w:rFonts w:eastAsiaTheme="minorEastAsia" w:cs="Arial"/>
          <w:bCs/>
          <w:sz w:val="20"/>
          <w:szCs w:val="20"/>
          <w:vertAlign w:val="superscript"/>
        </w:rPr>
        <w:t>d</w:t>
      </w:r>
      <w:r>
        <w:rPr>
          <w:rFonts w:eastAsiaTheme="minorEastAsia" w:cs="Arial"/>
          <w:bCs/>
          <w:sz w:val="20"/>
          <w:szCs w:val="20"/>
          <w:vertAlign w:val="superscript"/>
        </w:rPr>
        <w:t xml:space="preserve"> </w:t>
      </w:r>
      <w:r w:rsidR="00F454A9">
        <w:rPr>
          <w:rFonts w:eastAsiaTheme="minorEastAsia" w:cs="Arial"/>
          <w:bCs/>
          <w:sz w:val="20"/>
          <w:szCs w:val="20"/>
          <w:vertAlign w:val="superscript"/>
        </w:rPr>
        <w:tab/>
      </w:r>
      <w:r>
        <w:rPr>
          <w:rFonts w:eastAsiaTheme="minorEastAsia" w:cs="Arial"/>
          <w:bCs/>
          <w:sz w:val="18"/>
          <w:szCs w:val="18"/>
        </w:rPr>
        <w:t>Include</w:t>
      </w:r>
      <w:r w:rsidR="00F454A9">
        <w:rPr>
          <w:rFonts w:eastAsiaTheme="minorEastAsia" w:cs="Arial"/>
          <w:bCs/>
          <w:sz w:val="18"/>
          <w:szCs w:val="18"/>
        </w:rPr>
        <w:t>s</w:t>
      </w:r>
      <w:r>
        <w:rPr>
          <w:rFonts w:eastAsiaTheme="minorEastAsia" w:cs="Arial"/>
          <w:bCs/>
          <w:sz w:val="18"/>
          <w:szCs w:val="18"/>
        </w:rPr>
        <w:t xml:space="preserve">: </w:t>
      </w:r>
      <w:proofErr w:type="gramStart"/>
      <w:r w:rsidR="002B2F47">
        <w:rPr>
          <w:rFonts w:eastAsiaTheme="minorEastAsia" w:cs="Arial"/>
          <w:bCs/>
          <w:sz w:val="18"/>
          <w:szCs w:val="18"/>
        </w:rPr>
        <w:t>r</w:t>
      </w:r>
      <w:r w:rsidRPr="005A3C6F">
        <w:rPr>
          <w:rFonts w:eastAsiaTheme="minorEastAsia" w:cs="Arial"/>
          <w:bCs/>
          <w:sz w:val="18"/>
          <w:szCs w:val="18"/>
        </w:rPr>
        <w:t>ice</w:t>
      </w:r>
      <w:r>
        <w:rPr>
          <w:rFonts w:eastAsiaTheme="minorEastAsia" w:cs="Arial"/>
          <w:bCs/>
          <w:sz w:val="18"/>
          <w:szCs w:val="18"/>
        </w:rPr>
        <w:t>,</w:t>
      </w:r>
      <w:r>
        <w:rPr>
          <w:rFonts w:eastAsiaTheme="minorEastAsia" w:cs="Arial"/>
          <w:bCs/>
          <w:sz w:val="20"/>
          <w:szCs w:val="20"/>
          <w:vertAlign w:val="superscript"/>
        </w:rPr>
        <w:t>,</w:t>
      </w:r>
      <w:proofErr w:type="gramEnd"/>
      <w:r>
        <w:rPr>
          <w:rFonts w:eastAsiaTheme="minorEastAsia" w:cs="Arial"/>
          <w:bCs/>
          <w:sz w:val="20"/>
          <w:szCs w:val="20"/>
          <w:vertAlign w:val="superscript"/>
        </w:rPr>
        <w:t xml:space="preserve"> </w:t>
      </w:r>
      <w:r w:rsidR="002B2F47">
        <w:rPr>
          <w:rFonts w:eastAsiaTheme="minorEastAsia"/>
          <w:sz w:val="18"/>
          <w:szCs w:val="18"/>
        </w:rPr>
        <w:t>sunflower</w:t>
      </w:r>
      <w:r>
        <w:rPr>
          <w:rFonts w:eastAsiaTheme="minorEastAsia"/>
          <w:sz w:val="18"/>
          <w:szCs w:val="18"/>
        </w:rPr>
        <w:t xml:space="preserve"> oil, sugar, wheat, beans, </w:t>
      </w:r>
      <w:r w:rsidR="00172095">
        <w:rPr>
          <w:rFonts w:eastAsiaTheme="minorEastAsia"/>
          <w:sz w:val="18"/>
          <w:szCs w:val="18"/>
        </w:rPr>
        <w:t xml:space="preserve">pasta, </w:t>
      </w:r>
      <w:r w:rsidR="007B3282">
        <w:rPr>
          <w:rFonts w:eastAsiaTheme="minorEastAsia"/>
          <w:sz w:val="18"/>
          <w:szCs w:val="18"/>
        </w:rPr>
        <w:t>buckwheat</w:t>
      </w:r>
      <w:r w:rsidR="00B81332">
        <w:rPr>
          <w:rFonts w:eastAsiaTheme="minorEastAsia"/>
          <w:sz w:val="18"/>
          <w:szCs w:val="18"/>
        </w:rPr>
        <w:t xml:space="preserve">, milk powder products, </w:t>
      </w:r>
      <w:r w:rsidR="0090232A">
        <w:rPr>
          <w:rFonts w:eastAsiaTheme="minorEastAsia"/>
          <w:sz w:val="18"/>
          <w:szCs w:val="18"/>
        </w:rPr>
        <w:t>flour</w:t>
      </w:r>
      <w:r w:rsidR="009863AB">
        <w:rPr>
          <w:rFonts w:eastAsiaTheme="minorEastAsia"/>
          <w:sz w:val="18"/>
          <w:szCs w:val="18"/>
        </w:rPr>
        <w:t>.</w:t>
      </w:r>
    </w:p>
    <w:p w14:paraId="31656F7A" w14:textId="29FAD2AA" w:rsidR="0082703C" w:rsidRDefault="00BC5F1A" w:rsidP="00F454A9">
      <w:pPr>
        <w:ind w:left="284" w:hanging="284"/>
        <w:rPr>
          <w:rFonts w:eastAsiaTheme="minorEastAsia" w:cs="Arial"/>
          <w:bCs/>
          <w:sz w:val="18"/>
          <w:szCs w:val="18"/>
        </w:rPr>
      </w:pPr>
      <w:r>
        <w:rPr>
          <w:rFonts w:eastAsiaTheme="minorEastAsia" w:cs="Arial"/>
          <w:bCs/>
          <w:sz w:val="20"/>
          <w:szCs w:val="20"/>
          <w:vertAlign w:val="superscript"/>
        </w:rPr>
        <w:t xml:space="preserve">i   </w:t>
      </w:r>
      <w:r w:rsidR="00F454A9">
        <w:rPr>
          <w:rFonts w:eastAsiaTheme="minorEastAsia" w:cs="Arial"/>
          <w:bCs/>
          <w:sz w:val="20"/>
          <w:szCs w:val="20"/>
          <w:vertAlign w:val="superscript"/>
        </w:rPr>
        <w:tab/>
      </w:r>
      <w:r w:rsidR="0082703C" w:rsidRPr="0082703C">
        <w:rPr>
          <w:rFonts w:eastAsiaTheme="minorEastAsia" w:cs="Arial"/>
          <w:bCs/>
          <w:sz w:val="18"/>
          <w:szCs w:val="18"/>
        </w:rPr>
        <w:t>During project implementation, targets may be revised once sex-disaggregated data is collected</w:t>
      </w:r>
      <w:r w:rsidR="008F70E8">
        <w:rPr>
          <w:rFonts w:eastAsiaTheme="minorEastAsia" w:cs="Arial"/>
          <w:bCs/>
          <w:sz w:val="18"/>
          <w:szCs w:val="18"/>
        </w:rPr>
        <w:t>.</w:t>
      </w:r>
    </w:p>
    <w:p w14:paraId="5BC5508E" w14:textId="58222800" w:rsidR="003D7875" w:rsidRPr="001B0A70" w:rsidRDefault="00924B8B" w:rsidP="008F70E8">
      <w:pPr>
        <w:rPr>
          <w:rFonts w:eastAsiaTheme="minorEastAsia"/>
          <w:sz w:val="18"/>
          <w:szCs w:val="18"/>
        </w:rPr>
      </w:pPr>
      <w:r>
        <w:rPr>
          <w:rFonts w:eastAsiaTheme="minorEastAsia"/>
          <w:sz w:val="18"/>
          <w:szCs w:val="18"/>
        </w:rPr>
        <w:t xml:space="preserve">CGF = Credit Guarantee Fund; </w:t>
      </w:r>
      <w:r w:rsidR="00450631">
        <w:rPr>
          <w:rFonts w:eastAsiaTheme="minorEastAsia"/>
          <w:sz w:val="18"/>
          <w:szCs w:val="18"/>
        </w:rPr>
        <w:t xml:space="preserve">COVID-19 = </w:t>
      </w:r>
      <w:r w:rsidR="00C61707">
        <w:rPr>
          <w:rFonts w:eastAsiaTheme="minorEastAsia"/>
          <w:sz w:val="18"/>
          <w:szCs w:val="18"/>
        </w:rPr>
        <w:t>C</w:t>
      </w:r>
      <w:r w:rsidR="00450631" w:rsidRPr="00450631">
        <w:rPr>
          <w:rFonts w:eastAsiaTheme="minorEastAsia"/>
          <w:sz w:val="18"/>
          <w:szCs w:val="18"/>
        </w:rPr>
        <w:t>oronavirus</w:t>
      </w:r>
      <w:r w:rsidR="00C61707">
        <w:rPr>
          <w:rFonts w:eastAsiaTheme="minorEastAsia"/>
          <w:sz w:val="18"/>
          <w:szCs w:val="18"/>
        </w:rPr>
        <w:t xml:space="preserve"> Disease 2019</w:t>
      </w:r>
      <w:r w:rsidR="00450631">
        <w:rPr>
          <w:rFonts w:eastAsiaTheme="minorEastAsia"/>
          <w:sz w:val="18"/>
          <w:szCs w:val="18"/>
        </w:rPr>
        <w:t xml:space="preserve">; </w:t>
      </w:r>
      <w:r w:rsidR="001B0A70" w:rsidRPr="001B0A70">
        <w:rPr>
          <w:rFonts w:eastAsiaTheme="minorEastAsia"/>
          <w:sz w:val="18"/>
          <w:szCs w:val="18"/>
        </w:rPr>
        <w:t>GEL</w:t>
      </w:r>
      <w:r w:rsidR="00450631">
        <w:rPr>
          <w:rFonts w:eastAsiaTheme="minorEastAsia"/>
          <w:sz w:val="18"/>
          <w:szCs w:val="18"/>
        </w:rPr>
        <w:t xml:space="preserve"> = </w:t>
      </w:r>
      <w:r w:rsidR="001B0A70" w:rsidRPr="001B0A70">
        <w:rPr>
          <w:rFonts w:eastAsiaTheme="minorEastAsia"/>
          <w:sz w:val="18"/>
          <w:szCs w:val="18"/>
        </w:rPr>
        <w:t xml:space="preserve">Georgian </w:t>
      </w:r>
      <w:proofErr w:type="spellStart"/>
      <w:r w:rsidR="001B0A70" w:rsidRPr="001B0A70">
        <w:rPr>
          <w:rFonts w:eastAsiaTheme="minorEastAsia"/>
          <w:sz w:val="18"/>
          <w:szCs w:val="18"/>
        </w:rPr>
        <w:t>Lari</w:t>
      </w:r>
      <w:proofErr w:type="spellEnd"/>
      <w:r w:rsidR="001B0A70" w:rsidRPr="001B0A70">
        <w:rPr>
          <w:rFonts w:eastAsiaTheme="minorEastAsia"/>
          <w:sz w:val="18"/>
          <w:szCs w:val="18"/>
        </w:rPr>
        <w:t xml:space="preserve">; </w:t>
      </w:r>
      <w:r>
        <w:rPr>
          <w:rFonts w:eastAsiaTheme="minorEastAsia"/>
          <w:sz w:val="18"/>
          <w:szCs w:val="18"/>
        </w:rPr>
        <w:t xml:space="preserve">IACC = Interagency Coordination Council on COVID-19; MEPA = Ministry of Environmental Protection and Agriculture; </w:t>
      </w:r>
      <w:proofErr w:type="spellStart"/>
      <w:r w:rsidR="001B0A70" w:rsidRPr="001B0A70">
        <w:rPr>
          <w:rFonts w:eastAsiaTheme="minorEastAsia"/>
          <w:sz w:val="18"/>
          <w:szCs w:val="18"/>
        </w:rPr>
        <w:t>M</w:t>
      </w:r>
      <w:r>
        <w:rPr>
          <w:rFonts w:eastAsiaTheme="minorEastAsia"/>
          <w:sz w:val="18"/>
          <w:szCs w:val="18"/>
        </w:rPr>
        <w:t>oILHSA</w:t>
      </w:r>
      <w:proofErr w:type="spellEnd"/>
      <w:r w:rsidR="00450631">
        <w:rPr>
          <w:rFonts w:eastAsiaTheme="minorEastAsia"/>
          <w:sz w:val="18"/>
          <w:szCs w:val="18"/>
        </w:rPr>
        <w:t xml:space="preserve"> = </w:t>
      </w:r>
      <w:r w:rsidR="001B0A70" w:rsidRPr="001B0A70">
        <w:rPr>
          <w:rFonts w:eastAsiaTheme="minorEastAsia"/>
          <w:sz w:val="18"/>
          <w:szCs w:val="18"/>
        </w:rPr>
        <w:t>Ministry of</w:t>
      </w:r>
      <w:r>
        <w:rPr>
          <w:rFonts w:eastAsiaTheme="minorEastAsia"/>
          <w:sz w:val="18"/>
          <w:szCs w:val="18"/>
        </w:rPr>
        <w:t xml:space="preserve"> IDPs, </w:t>
      </w:r>
      <w:proofErr w:type="spellStart"/>
      <w:r>
        <w:rPr>
          <w:rFonts w:eastAsiaTheme="minorEastAsia"/>
          <w:sz w:val="18"/>
          <w:szCs w:val="18"/>
        </w:rPr>
        <w:t>Labour</w:t>
      </w:r>
      <w:proofErr w:type="spellEnd"/>
      <w:r>
        <w:rPr>
          <w:rFonts w:eastAsiaTheme="minorEastAsia"/>
          <w:sz w:val="18"/>
          <w:szCs w:val="18"/>
        </w:rPr>
        <w:t xml:space="preserve">, Health and </w:t>
      </w:r>
      <w:r w:rsidR="001B0A70" w:rsidRPr="001B0A70">
        <w:rPr>
          <w:rFonts w:eastAsiaTheme="minorEastAsia"/>
          <w:sz w:val="18"/>
          <w:szCs w:val="18"/>
        </w:rPr>
        <w:t xml:space="preserve"> </w:t>
      </w:r>
      <w:r>
        <w:rPr>
          <w:rFonts w:eastAsiaTheme="minorEastAsia"/>
          <w:sz w:val="18"/>
          <w:szCs w:val="18"/>
        </w:rPr>
        <w:t>Social Affairs</w:t>
      </w:r>
      <w:r w:rsidR="001B0A70" w:rsidRPr="001B0A70">
        <w:rPr>
          <w:rFonts w:eastAsiaTheme="minorEastAsia"/>
          <w:sz w:val="18"/>
          <w:szCs w:val="18"/>
        </w:rPr>
        <w:t>; MOF</w:t>
      </w:r>
      <w:r w:rsidR="0005258B">
        <w:rPr>
          <w:rFonts w:eastAsiaTheme="minorEastAsia"/>
          <w:sz w:val="18"/>
          <w:szCs w:val="18"/>
        </w:rPr>
        <w:t xml:space="preserve"> = </w:t>
      </w:r>
      <w:r w:rsidR="001B0A70" w:rsidRPr="001B0A70">
        <w:rPr>
          <w:rFonts w:eastAsiaTheme="minorEastAsia"/>
          <w:sz w:val="18"/>
          <w:szCs w:val="18"/>
        </w:rPr>
        <w:t>Ministry of Finance; NBG</w:t>
      </w:r>
      <w:r w:rsidR="0005258B">
        <w:rPr>
          <w:rFonts w:eastAsiaTheme="minorEastAsia"/>
          <w:sz w:val="18"/>
          <w:szCs w:val="18"/>
        </w:rPr>
        <w:t xml:space="preserve"> =</w:t>
      </w:r>
      <w:r w:rsidR="001B0A70" w:rsidRPr="001B0A70">
        <w:rPr>
          <w:rFonts w:eastAsiaTheme="minorEastAsia"/>
          <w:sz w:val="18"/>
          <w:szCs w:val="18"/>
        </w:rPr>
        <w:t xml:space="preserve"> National Bank of Georgia</w:t>
      </w:r>
      <w:r w:rsidR="0012043A">
        <w:rPr>
          <w:rFonts w:eastAsiaTheme="minorEastAsia"/>
          <w:sz w:val="18"/>
          <w:szCs w:val="18"/>
        </w:rPr>
        <w:t>;</w:t>
      </w:r>
      <w:r w:rsidR="001451FD">
        <w:rPr>
          <w:rFonts w:eastAsiaTheme="minorEastAsia"/>
          <w:sz w:val="18"/>
          <w:szCs w:val="18"/>
        </w:rPr>
        <w:t xml:space="preserve"> NPIs = </w:t>
      </w:r>
      <w:r w:rsidR="001451FD" w:rsidRPr="001451FD">
        <w:rPr>
          <w:rFonts w:eastAsiaTheme="minorEastAsia"/>
          <w:sz w:val="18"/>
          <w:szCs w:val="18"/>
        </w:rPr>
        <w:t>non-pharmaceutical interventions</w:t>
      </w:r>
      <w:r w:rsidR="00BB6731">
        <w:rPr>
          <w:rFonts w:eastAsiaTheme="minorEastAsia"/>
          <w:sz w:val="18"/>
          <w:szCs w:val="18"/>
        </w:rPr>
        <w:t>;</w:t>
      </w:r>
      <w:r w:rsidR="0012043A">
        <w:rPr>
          <w:rFonts w:eastAsiaTheme="minorEastAsia"/>
          <w:sz w:val="18"/>
          <w:szCs w:val="18"/>
        </w:rPr>
        <w:t xml:space="preserve"> </w:t>
      </w:r>
      <w:r w:rsidR="0005258B">
        <w:rPr>
          <w:rFonts w:eastAsiaTheme="minorEastAsia"/>
          <w:sz w:val="18"/>
          <w:szCs w:val="18"/>
        </w:rPr>
        <w:t>SME</w:t>
      </w:r>
      <w:r w:rsidR="0012043A">
        <w:rPr>
          <w:rFonts w:eastAsiaTheme="minorEastAsia"/>
          <w:sz w:val="18"/>
          <w:szCs w:val="18"/>
        </w:rPr>
        <w:t xml:space="preserve">s = </w:t>
      </w:r>
      <w:r w:rsidR="0012043A" w:rsidRPr="0012043A">
        <w:rPr>
          <w:rFonts w:eastAsiaTheme="minorEastAsia"/>
          <w:sz w:val="18"/>
          <w:szCs w:val="18"/>
        </w:rPr>
        <w:t>small and medium-sized enterprises</w:t>
      </w:r>
      <w:r w:rsidR="0012043A">
        <w:rPr>
          <w:rFonts w:eastAsiaTheme="minorEastAsia"/>
          <w:sz w:val="18"/>
          <w:szCs w:val="18"/>
        </w:rPr>
        <w:t>.</w:t>
      </w:r>
    </w:p>
    <w:p w14:paraId="51BD256C" w14:textId="1B676ADE" w:rsidR="005661B4" w:rsidRDefault="003D7875" w:rsidP="00195304">
      <w:pPr>
        <w:jc w:val="left"/>
        <w:rPr>
          <w:rFonts w:eastAsiaTheme="minorEastAsia"/>
          <w:sz w:val="18"/>
          <w:szCs w:val="18"/>
        </w:rPr>
      </w:pPr>
      <w:r w:rsidRPr="003D7875">
        <w:rPr>
          <w:rFonts w:eastAsiaTheme="minorEastAsia"/>
          <w:sz w:val="18"/>
          <w:szCs w:val="18"/>
        </w:rPr>
        <w:t>Source: Asian Development Bank.</w:t>
      </w:r>
      <w:bookmarkEnd w:id="36"/>
    </w:p>
    <w:p w14:paraId="30B67D8A" w14:textId="77777777" w:rsidR="004D0082" w:rsidRDefault="004D0082" w:rsidP="00195304">
      <w:pPr>
        <w:jc w:val="left"/>
        <w:rPr>
          <w:color w:val="FF0000"/>
        </w:rPr>
        <w:sectPr w:rsidR="004D0082" w:rsidSect="00D27DD1">
          <w:headerReference w:type="even" r:id="rId24"/>
          <w:headerReference w:type="default" r:id="rId25"/>
          <w:footnotePr>
            <w:numRestart w:val="eachSect"/>
          </w:footnotePr>
          <w:endnotePr>
            <w:numRestart w:val="eachSect"/>
          </w:endnotePr>
          <w:pgSz w:w="12240" w:h="15840" w:code="1"/>
          <w:pgMar w:top="1296" w:right="1440" w:bottom="1296" w:left="1440" w:header="720" w:footer="720" w:gutter="0"/>
          <w:cols w:space="720"/>
          <w:docGrid w:linePitch="299"/>
        </w:sectPr>
      </w:pPr>
    </w:p>
    <w:p w14:paraId="45E73F24" w14:textId="77777777" w:rsidR="004D0082" w:rsidRPr="007B35B7" w:rsidRDefault="004D0082" w:rsidP="004D0082">
      <w:pPr>
        <w:pStyle w:val="Heading1"/>
        <w:numPr>
          <w:ilvl w:val="0"/>
          <w:numId w:val="0"/>
        </w:numPr>
      </w:pPr>
      <w:bookmarkStart w:id="40" w:name="_Toc15990583"/>
      <w:bookmarkStart w:id="41" w:name="_Toc37054931"/>
      <w:bookmarkStart w:id="42" w:name="_Toc39790019"/>
      <w:r w:rsidRPr="007B35B7">
        <w:lastRenderedPageBreak/>
        <w:t>List of Linked Documents</w:t>
      </w:r>
      <w:bookmarkEnd w:id="40"/>
      <w:bookmarkEnd w:id="41"/>
      <w:bookmarkEnd w:id="42"/>
    </w:p>
    <w:p w14:paraId="536E27EA" w14:textId="25AB5AEA" w:rsidR="004D0082" w:rsidRPr="004535AF" w:rsidRDefault="004535AF" w:rsidP="5EC20300">
      <w:pPr>
        <w:jc w:val="center"/>
        <w:rPr>
          <w:rStyle w:val="Hyperlink"/>
          <w:rFonts w:cs="Arial"/>
        </w:rPr>
      </w:pPr>
      <w:r>
        <w:rPr>
          <w:rFonts w:cs="Arial"/>
        </w:rPr>
        <w:fldChar w:fldCharType="begin"/>
      </w:r>
      <w:r>
        <w:rPr>
          <w:rFonts w:cs="Arial"/>
        </w:rPr>
        <w:instrText xml:space="preserve"> HYPERLINK "http://www.adb.org/Documents/RRPs/?id=54191-001" </w:instrText>
      </w:r>
      <w:r>
        <w:rPr>
          <w:rFonts w:cs="Arial"/>
        </w:rPr>
        <w:fldChar w:fldCharType="separate"/>
      </w:r>
      <w:r w:rsidR="004D0082" w:rsidRPr="004535AF">
        <w:rPr>
          <w:rStyle w:val="Hyperlink"/>
          <w:rFonts w:cs="Arial"/>
        </w:rPr>
        <w:t>http://www.adb.org/Documents/RRPs/?id=5419</w:t>
      </w:r>
      <w:r w:rsidR="795E9AF5" w:rsidRPr="004535AF">
        <w:rPr>
          <w:rStyle w:val="Hyperlink"/>
          <w:rFonts w:cs="Arial"/>
        </w:rPr>
        <w:t>1</w:t>
      </w:r>
      <w:r w:rsidR="004D0082" w:rsidRPr="004535AF">
        <w:rPr>
          <w:rStyle w:val="Hyperlink"/>
          <w:rFonts w:cs="Arial"/>
        </w:rPr>
        <w:t>-001</w:t>
      </w:r>
    </w:p>
    <w:p w14:paraId="43FE12B3" w14:textId="3AF1DFFF" w:rsidR="004D0082" w:rsidRPr="007B35B7" w:rsidRDefault="004535AF" w:rsidP="004D0082">
      <w:pPr>
        <w:jc w:val="center"/>
        <w:rPr>
          <w:rFonts w:cs="Arial"/>
          <w:bCs/>
        </w:rPr>
      </w:pPr>
      <w:r>
        <w:rPr>
          <w:rFonts w:cs="Arial"/>
        </w:rPr>
        <w:fldChar w:fldCharType="end"/>
      </w:r>
    </w:p>
    <w:p w14:paraId="05203CF1" w14:textId="77777777" w:rsidR="004D0082" w:rsidRPr="00400743" w:rsidRDefault="004D0082" w:rsidP="00E45E45">
      <w:pPr>
        <w:pStyle w:val="ListParagraph"/>
        <w:numPr>
          <w:ilvl w:val="0"/>
          <w:numId w:val="4"/>
        </w:numPr>
        <w:spacing w:after="120"/>
        <w:ind w:hanging="720"/>
        <w:rPr>
          <w:rFonts w:cs="Arial"/>
          <w:bCs/>
          <w:szCs w:val="22"/>
        </w:rPr>
      </w:pPr>
      <w:r>
        <w:rPr>
          <w:rFonts w:cs="Arial"/>
          <w:color w:val="000000" w:themeColor="text1"/>
          <w:szCs w:val="22"/>
        </w:rPr>
        <w:t>Loan Agreement</w:t>
      </w:r>
    </w:p>
    <w:p w14:paraId="46CB1E5C" w14:textId="77777777" w:rsidR="004D0082" w:rsidRPr="00C35130" w:rsidRDefault="00CA7367" w:rsidP="00E45E45">
      <w:pPr>
        <w:pStyle w:val="ListParagraph"/>
        <w:numPr>
          <w:ilvl w:val="0"/>
          <w:numId w:val="4"/>
        </w:numPr>
        <w:spacing w:after="120"/>
        <w:ind w:hanging="720"/>
        <w:rPr>
          <w:rStyle w:val="Hyperlink"/>
          <w:rFonts w:cs="Arial"/>
          <w:bCs/>
          <w:color w:val="auto"/>
          <w:szCs w:val="22"/>
          <w:u w:val="none"/>
        </w:rPr>
      </w:pPr>
      <w:hyperlink r:id="rId26" w:history="1">
        <w:r w:rsidR="004D0082" w:rsidRPr="007B35B7">
          <w:rPr>
            <w:rStyle w:val="Hyperlink"/>
            <w:rFonts w:cs="Arial"/>
            <w:color w:val="000000" w:themeColor="text1"/>
            <w:szCs w:val="22"/>
            <w:u w:val="none"/>
          </w:rPr>
          <w:t>Development Coordination</w:t>
        </w:r>
      </w:hyperlink>
    </w:p>
    <w:p w14:paraId="795890D3" w14:textId="77777777" w:rsidR="004D0082" w:rsidRPr="00C35130" w:rsidRDefault="00CA7367" w:rsidP="00E45E45">
      <w:pPr>
        <w:pStyle w:val="ListParagraph"/>
        <w:numPr>
          <w:ilvl w:val="0"/>
          <w:numId w:val="4"/>
        </w:numPr>
        <w:spacing w:after="120"/>
        <w:ind w:hanging="720"/>
        <w:rPr>
          <w:rStyle w:val="Hyperlink"/>
          <w:rFonts w:cs="Arial"/>
          <w:bCs/>
          <w:color w:val="auto"/>
          <w:szCs w:val="22"/>
          <w:u w:val="none"/>
        </w:rPr>
      </w:pPr>
      <w:hyperlink r:id="rId27" w:history="1">
        <w:r w:rsidR="004D0082" w:rsidRPr="007B35B7">
          <w:rPr>
            <w:rStyle w:val="Hyperlink"/>
            <w:rFonts w:cs="Arial"/>
            <w:color w:val="000000" w:themeColor="text1"/>
            <w:szCs w:val="22"/>
            <w:u w:val="none"/>
          </w:rPr>
          <w:t>Country Economic Indicators</w:t>
        </w:r>
      </w:hyperlink>
    </w:p>
    <w:p w14:paraId="55B8F3F3" w14:textId="081372F0" w:rsidR="004D0082" w:rsidRPr="00C35130" w:rsidRDefault="00CA7367" w:rsidP="00E45E45">
      <w:pPr>
        <w:pStyle w:val="ListParagraph"/>
        <w:numPr>
          <w:ilvl w:val="0"/>
          <w:numId w:val="4"/>
        </w:numPr>
        <w:spacing w:after="120"/>
        <w:ind w:hanging="720"/>
        <w:rPr>
          <w:rStyle w:val="Hyperlink"/>
          <w:rFonts w:cs="Arial"/>
          <w:bCs/>
          <w:color w:val="auto"/>
          <w:szCs w:val="22"/>
          <w:u w:val="none"/>
        </w:rPr>
      </w:pPr>
      <w:hyperlink r:id="rId28" w:history="1">
        <w:r w:rsidR="004D0082" w:rsidRPr="007B35B7">
          <w:rPr>
            <w:rStyle w:val="Hyperlink"/>
            <w:rFonts w:cs="Arial"/>
            <w:color w:val="000000" w:themeColor="text1"/>
            <w:szCs w:val="22"/>
            <w:u w:val="none"/>
          </w:rPr>
          <w:t>International Monetary Fund Assessment Letter</w:t>
        </w:r>
      </w:hyperlink>
    </w:p>
    <w:p w14:paraId="33739083" w14:textId="77777777" w:rsidR="004D0082" w:rsidRPr="00C35130" w:rsidRDefault="00CA7367" w:rsidP="00E45E45">
      <w:pPr>
        <w:pStyle w:val="ListParagraph"/>
        <w:numPr>
          <w:ilvl w:val="0"/>
          <w:numId w:val="4"/>
        </w:numPr>
        <w:spacing w:after="120"/>
        <w:ind w:hanging="720"/>
        <w:rPr>
          <w:rStyle w:val="Hyperlink"/>
          <w:rFonts w:cs="Arial"/>
          <w:bCs/>
          <w:color w:val="auto"/>
          <w:szCs w:val="22"/>
          <w:u w:val="none"/>
        </w:rPr>
      </w:pPr>
      <w:hyperlink r:id="rId29" w:history="1">
        <w:r w:rsidR="004D0082" w:rsidRPr="007B35B7">
          <w:rPr>
            <w:rStyle w:val="Hyperlink"/>
            <w:rFonts w:cs="Arial"/>
            <w:color w:val="000000" w:themeColor="text1"/>
            <w:szCs w:val="22"/>
            <w:u w:val="none"/>
          </w:rPr>
          <w:t>Summary Poverty Reduction and Social Strategy</w:t>
        </w:r>
      </w:hyperlink>
    </w:p>
    <w:p w14:paraId="737BC642" w14:textId="77777777" w:rsidR="004D0082" w:rsidRPr="00C35130" w:rsidRDefault="00CA7367" w:rsidP="00E45E45">
      <w:pPr>
        <w:pStyle w:val="ListParagraph"/>
        <w:numPr>
          <w:ilvl w:val="0"/>
          <w:numId w:val="4"/>
        </w:numPr>
        <w:spacing w:after="120"/>
        <w:ind w:hanging="720"/>
        <w:rPr>
          <w:rStyle w:val="Hyperlink"/>
          <w:rFonts w:cs="Arial"/>
          <w:bCs/>
          <w:color w:val="auto"/>
          <w:szCs w:val="22"/>
          <w:u w:val="none"/>
        </w:rPr>
      </w:pPr>
      <w:hyperlink r:id="rId30" w:history="1">
        <w:r w:rsidR="004D0082" w:rsidRPr="007B35B7">
          <w:rPr>
            <w:rStyle w:val="Hyperlink"/>
            <w:rFonts w:cs="Arial"/>
            <w:color w:val="000000" w:themeColor="text1"/>
            <w:szCs w:val="22"/>
            <w:u w:val="none"/>
          </w:rPr>
          <w:t>Risk Assessment and Risk Management Plan</w:t>
        </w:r>
      </w:hyperlink>
    </w:p>
    <w:p w14:paraId="6E71B58E" w14:textId="77777777" w:rsidR="004D0082" w:rsidRPr="00E47DEB" w:rsidRDefault="00CA7367" w:rsidP="00E45E45">
      <w:pPr>
        <w:pStyle w:val="ListParagraph"/>
        <w:numPr>
          <w:ilvl w:val="0"/>
          <w:numId w:val="4"/>
        </w:numPr>
        <w:spacing w:after="120"/>
        <w:ind w:hanging="720"/>
        <w:rPr>
          <w:rStyle w:val="Hyperlink"/>
          <w:rFonts w:cs="Arial"/>
          <w:color w:val="auto"/>
          <w:szCs w:val="22"/>
          <w:u w:val="none"/>
        </w:rPr>
      </w:pPr>
      <w:hyperlink r:id="rId31" w:history="1">
        <w:r w:rsidR="004D0082" w:rsidRPr="007B35B7">
          <w:rPr>
            <w:rStyle w:val="Hyperlink"/>
            <w:rFonts w:cs="Arial"/>
            <w:color w:val="000000" w:themeColor="text1"/>
            <w:szCs w:val="22"/>
            <w:u w:val="none"/>
          </w:rPr>
          <w:t>List of Ineligible Items</w:t>
        </w:r>
      </w:hyperlink>
    </w:p>
    <w:p w14:paraId="53A343B9" w14:textId="2F69F3A1" w:rsidR="00E47DEB" w:rsidRPr="00C35130" w:rsidRDefault="002432B1" w:rsidP="00E45E45">
      <w:pPr>
        <w:pStyle w:val="ListParagraph"/>
        <w:numPr>
          <w:ilvl w:val="0"/>
          <w:numId w:val="4"/>
        </w:numPr>
        <w:spacing w:after="120"/>
        <w:ind w:hanging="720"/>
        <w:rPr>
          <w:rFonts w:cs="Arial"/>
          <w:bCs/>
          <w:szCs w:val="22"/>
        </w:rPr>
      </w:pPr>
      <w:r>
        <w:rPr>
          <w:rStyle w:val="Hyperlink"/>
          <w:rFonts w:cs="Arial"/>
          <w:color w:val="000000" w:themeColor="text1"/>
          <w:szCs w:val="22"/>
          <w:u w:val="none"/>
        </w:rPr>
        <w:t>Gender Monitoring Matrix</w:t>
      </w:r>
    </w:p>
    <w:p w14:paraId="50EDE2CD" w14:textId="089E1707" w:rsidR="004D0082" w:rsidRPr="00702133" w:rsidRDefault="0D95E5C5" w:rsidP="00E45E45">
      <w:pPr>
        <w:pStyle w:val="ListParagraph"/>
        <w:numPr>
          <w:ilvl w:val="0"/>
          <w:numId w:val="4"/>
        </w:numPr>
        <w:spacing w:after="120"/>
        <w:ind w:hanging="720"/>
        <w:rPr>
          <w:rFonts w:cs="Arial"/>
        </w:rPr>
      </w:pPr>
      <w:r w:rsidRPr="00702133">
        <w:rPr>
          <w:rFonts w:cs="Arial"/>
        </w:rPr>
        <w:t xml:space="preserve">Georgia: </w:t>
      </w:r>
      <w:r w:rsidR="004D0082" w:rsidRPr="00702133">
        <w:rPr>
          <w:rFonts w:cs="Arial"/>
        </w:rPr>
        <w:t>Debt Sustainability</w:t>
      </w:r>
      <w:r w:rsidR="00127715" w:rsidRPr="00702133">
        <w:rPr>
          <w:rFonts w:cs="Arial"/>
        </w:rPr>
        <w:t xml:space="preserve"> Analysis</w:t>
      </w:r>
    </w:p>
    <w:p w14:paraId="697B8F2E" w14:textId="5C502BE1" w:rsidR="004D0082" w:rsidRPr="00702133" w:rsidRDefault="004D0082" w:rsidP="005F108F">
      <w:pPr>
        <w:jc w:val="left"/>
      </w:pPr>
    </w:p>
    <w:p w14:paraId="6147E16D" w14:textId="02F3378E" w:rsidR="005F108F" w:rsidRDefault="005F108F" w:rsidP="00E45E45">
      <w:pPr>
        <w:spacing w:after="120"/>
        <w:jc w:val="left"/>
      </w:pPr>
      <w:r w:rsidRPr="00702133">
        <w:t xml:space="preserve">Supplementary </w:t>
      </w:r>
      <w:r w:rsidR="005C4503">
        <w:t>Document</w:t>
      </w:r>
    </w:p>
    <w:p w14:paraId="689CD39E" w14:textId="77777777" w:rsidR="005C4503" w:rsidRPr="00702133" w:rsidRDefault="005C4503" w:rsidP="00E45E45">
      <w:pPr>
        <w:spacing w:after="120"/>
        <w:jc w:val="left"/>
      </w:pPr>
    </w:p>
    <w:p w14:paraId="165FDF7A" w14:textId="45196074" w:rsidR="00702133" w:rsidRPr="00702133" w:rsidRDefault="00702133" w:rsidP="00E45E45">
      <w:pPr>
        <w:spacing w:after="120"/>
        <w:jc w:val="left"/>
      </w:pPr>
      <w:r w:rsidRPr="00702133">
        <w:t xml:space="preserve">10. </w:t>
      </w:r>
      <w:r>
        <w:tab/>
      </w:r>
      <w:r w:rsidRPr="00702133">
        <w:t>Safeguards Assessment Matrix</w:t>
      </w:r>
    </w:p>
    <w:p w14:paraId="18FF412C" w14:textId="77777777" w:rsidR="005F108F" w:rsidRPr="00702133" w:rsidRDefault="005F108F" w:rsidP="00AA6907">
      <w:pPr>
        <w:spacing w:after="120" w:line="480" w:lineRule="auto"/>
        <w:jc w:val="left"/>
      </w:pPr>
    </w:p>
    <w:p w14:paraId="0AB04AF5" w14:textId="283841EB" w:rsidR="004D0082" w:rsidRDefault="004D0082" w:rsidP="00AA6907">
      <w:pPr>
        <w:spacing w:after="120" w:line="480" w:lineRule="auto"/>
        <w:jc w:val="left"/>
        <w:rPr>
          <w:color w:val="FF0000"/>
        </w:rPr>
      </w:pPr>
    </w:p>
    <w:p w14:paraId="11458E98" w14:textId="347C15DE" w:rsidR="004D0082" w:rsidRDefault="004D0082" w:rsidP="00AA6907">
      <w:pPr>
        <w:spacing w:after="120" w:line="480" w:lineRule="auto"/>
        <w:jc w:val="left"/>
        <w:rPr>
          <w:color w:val="FF0000"/>
        </w:rPr>
      </w:pPr>
    </w:p>
    <w:p w14:paraId="175FA56A" w14:textId="56B85B46" w:rsidR="004D0082" w:rsidRDefault="004D0082" w:rsidP="00AA6907">
      <w:pPr>
        <w:spacing w:after="120" w:line="480" w:lineRule="auto"/>
        <w:jc w:val="left"/>
        <w:rPr>
          <w:color w:val="FF0000"/>
        </w:rPr>
      </w:pPr>
    </w:p>
    <w:p w14:paraId="6E6916C8" w14:textId="77777777" w:rsidR="004D0082" w:rsidRDefault="004D0082" w:rsidP="00AA6907">
      <w:pPr>
        <w:spacing w:after="120" w:line="480" w:lineRule="auto"/>
        <w:jc w:val="left"/>
        <w:rPr>
          <w:color w:val="FF0000"/>
        </w:rPr>
        <w:sectPr w:rsidR="004D0082" w:rsidSect="00D27DD1">
          <w:headerReference w:type="even" r:id="rId32"/>
          <w:headerReference w:type="default" r:id="rId33"/>
          <w:footnotePr>
            <w:numRestart w:val="eachSect"/>
          </w:footnotePr>
          <w:endnotePr>
            <w:numRestart w:val="eachSect"/>
          </w:endnotePr>
          <w:pgSz w:w="12240" w:h="15840" w:code="1"/>
          <w:pgMar w:top="1296" w:right="1440" w:bottom="1296" w:left="1440" w:header="720" w:footer="720" w:gutter="0"/>
          <w:cols w:space="720"/>
          <w:docGrid w:linePitch="299"/>
        </w:sectPr>
      </w:pPr>
    </w:p>
    <w:p w14:paraId="7F3BF783" w14:textId="77777777" w:rsidR="004D0082" w:rsidRPr="00195304" w:rsidRDefault="004D0082" w:rsidP="00195304">
      <w:pPr>
        <w:pStyle w:val="Heading1"/>
        <w:numPr>
          <w:ilvl w:val="0"/>
          <w:numId w:val="0"/>
        </w:numPr>
      </w:pPr>
      <w:bookmarkStart w:id="43" w:name="_Toc39042817"/>
      <w:bookmarkStart w:id="44" w:name="_Toc39790020"/>
      <w:r w:rsidRPr="00195304">
        <w:lastRenderedPageBreak/>
        <w:t>Development Policy Letter</w:t>
      </w:r>
      <w:bookmarkEnd w:id="43"/>
      <w:bookmarkEnd w:id="44"/>
    </w:p>
    <w:p w14:paraId="3A936928" w14:textId="77777777" w:rsidR="00195304" w:rsidRDefault="00195304" w:rsidP="00561D0B">
      <w:pPr>
        <w:spacing w:after="120" w:line="480" w:lineRule="auto"/>
        <w:jc w:val="left"/>
        <w:rPr>
          <w:b/>
          <w:bCs/>
          <w:color w:val="000000" w:themeColor="text1"/>
        </w:rPr>
      </w:pPr>
    </w:p>
    <w:p w14:paraId="4435F414" w14:textId="77777777" w:rsidR="002D5019" w:rsidRPr="00561D0B" w:rsidRDefault="002D5019" w:rsidP="002D5019">
      <w:pPr>
        <w:spacing w:after="120" w:line="480" w:lineRule="auto"/>
        <w:jc w:val="left"/>
        <w:rPr>
          <w:b/>
          <w:bCs/>
          <w:color w:val="000000" w:themeColor="text1"/>
        </w:rPr>
      </w:pPr>
      <w:r w:rsidRPr="00561D0B">
        <w:rPr>
          <w:b/>
          <w:bCs/>
          <w:color w:val="000000" w:themeColor="text1"/>
        </w:rPr>
        <w:t xml:space="preserve">Dear </w:t>
      </w:r>
      <w:r>
        <w:rPr>
          <w:b/>
          <w:bCs/>
          <w:color w:val="000000" w:themeColor="text1"/>
        </w:rPr>
        <w:t xml:space="preserve">Mr. </w:t>
      </w:r>
      <w:r w:rsidRPr="00561D0B">
        <w:rPr>
          <w:b/>
          <w:bCs/>
          <w:color w:val="000000" w:themeColor="text1"/>
        </w:rPr>
        <w:t>President</w:t>
      </w:r>
    </w:p>
    <w:p w14:paraId="64E18738" w14:textId="77777777" w:rsidR="002D5019" w:rsidRDefault="002D5019" w:rsidP="002D5019">
      <w:pPr>
        <w:spacing w:after="120" w:line="480" w:lineRule="auto"/>
        <w:rPr>
          <w:color w:val="000000" w:themeColor="text1"/>
        </w:rPr>
      </w:pPr>
      <w:r>
        <w:rPr>
          <w:color w:val="000000" w:themeColor="text1"/>
        </w:rPr>
        <w:t xml:space="preserve">I thank the Asian Development Bank (ADB) for its support to </w:t>
      </w:r>
      <w:r w:rsidRPr="00561D0B">
        <w:rPr>
          <w:color w:val="000000" w:themeColor="text1"/>
        </w:rPr>
        <w:t>Georgia</w:t>
      </w:r>
      <w:r>
        <w:rPr>
          <w:color w:val="000000" w:themeColor="text1"/>
        </w:rPr>
        <w:t>’s efforts</w:t>
      </w:r>
      <w:r w:rsidRPr="00561D0B">
        <w:rPr>
          <w:color w:val="000000" w:themeColor="text1"/>
        </w:rPr>
        <w:t xml:space="preserve"> </w:t>
      </w:r>
      <w:r>
        <w:rPr>
          <w:color w:val="000000" w:themeColor="text1"/>
        </w:rPr>
        <w:t>to overcome the challenges posed by the COVID-19 pandemic to the wellbeing of our people. ADB is a trusted partner of the government and the development impact of our cooperation has been tremendous over the past years. Since its outbreak, the prospects</w:t>
      </w:r>
      <w:r w:rsidRPr="00561D0B">
        <w:rPr>
          <w:color w:val="000000" w:themeColor="text1"/>
        </w:rPr>
        <w:t xml:space="preserve"> of social and economic implications </w:t>
      </w:r>
      <w:r>
        <w:rPr>
          <w:color w:val="000000" w:themeColor="text1"/>
        </w:rPr>
        <w:t xml:space="preserve">caused by the COVID-19 pandemic are </w:t>
      </w:r>
      <w:r w:rsidRPr="00561D0B">
        <w:rPr>
          <w:color w:val="000000" w:themeColor="text1"/>
        </w:rPr>
        <w:t xml:space="preserve">becoming dimmer by the day. This calls for a strong response to ensure the health risks are contained, people’s livelihoods are protected, and the stage is set for robust economic recovery as soon as possible. </w:t>
      </w:r>
    </w:p>
    <w:p w14:paraId="3B0D5506" w14:textId="77777777" w:rsidR="002D5019" w:rsidRPr="00561D0B" w:rsidRDefault="002D5019" w:rsidP="002D5019">
      <w:pPr>
        <w:spacing w:after="120" w:line="480" w:lineRule="auto"/>
        <w:rPr>
          <w:color w:val="000000" w:themeColor="text1"/>
        </w:rPr>
      </w:pPr>
    </w:p>
    <w:p w14:paraId="09838D51" w14:textId="77777777" w:rsidR="002D5019" w:rsidRDefault="002D5019" w:rsidP="002D5019">
      <w:pPr>
        <w:spacing w:after="120" w:line="480" w:lineRule="auto"/>
        <w:rPr>
          <w:color w:val="000000" w:themeColor="text1"/>
        </w:rPr>
      </w:pPr>
      <w:r w:rsidRPr="00561D0B">
        <w:rPr>
          <w:color w:val="000000" w:themeColor="text1"/>
        </w:rPr>
        <w:t>As part of our containment efforts, we have declared a state of emergency and imposed much</w:t>
      </w:r>
      <w:r>
        <w:rPr>
          <w:color w:val="000000" w:themeColor="text1"/>
        </w:rPr>
        <w:t>-</w:t>
      </w:r>
      <w:r w:rsidRPr="00561D0B">
        <w:rPr>
          <w:color w:val="000000" w:themeColor="text1"/>
        </w:rPr>
        <w:t xml:space="preserve">needed restrictions on assembly, transport and economic activity. As the economic impact of these measures begins to take hold, </w:t>
      </w:r>
      <w:r>
        <w:rPr>
          <w:color w:val="000000" w:themeColor="text1"/>
        </w:rPr>
        <w:t>we have adopted an</w:t>
      </w:r>
      <w:r w:rsidRPr="00561D0B">
        <w:rPr>
          <w:color w:val="000000" w:themeColor="text1"/>
        </w:rPr>
        <w:t xml:space="preserve"> Anti-Crisis Plan worth GEL3.5 billion, or 7.4% of GDP. This fiscal stimulus </w:t>
      </w:r>
      <w:r>
        <w:rPr>
          <w:color w:val="000000" w:themeColor="text1"/>
        </w:rPr>
        <w:t>package</w:t>
      </w:r>
      <w:r w:rsidRPr="00561D0B">
        <w:rPr>
          <w:color w:val="000000" w:themeColor="text1"/>
        </w:rPr>
        <w:t xml:space="preserve"> will help strengthen our public health systems</w:t>
      </w:r>
      <w:r>
        <w:rPr>
          <w:color w:val="000000" w:themeColor="text1"/>
        </w:rPr>
        <w:t xml:space="preserve"> </w:t>
      </w:r>
      <w:r w:rsidRPr="00561D0B">
        <w:rPr>
          <w:color w:val="000000" w:themeColor="text1"/>
        </w:rPr>
        <w:t xml:space="preserve">whilst providing a lifeline to private sector entities and expanding coverage of social assistance programs to mitigate a potential resurge in poverty incidence. </w:t>
      </w:r>
    </w:p>
    <w:p w14:paraId="16D11081" w14:textId="77777777" w:rsidR="002D5019" w:rsidRPr="00561D0B" w:rsidRDefault="002D5019" w:rsidP="002D5019">
      <w:pPr>
        <w:spacing w:after="120" w:line="480" w:lineRule="auto"/>
        <w:rPr>
          <w:color w:val="000000" w:themeColor="text1"/>
        </w:rPr>
      </w:pPr>
    </w:p>
    <w:p w14:paraId="6D72E18E" w14:textId="77777777" w:rsidR="002D5019" w:rsidRDefault="002D5019" w:rsidP="002D5019">
      <w:pPr>
        <w:spacing w:after="120" w:line="480" w:lineRule="auto"/>
        <w:rPr>
          <w:color w:val="000000" w:themeColor="text1"/>
        </w:rPr>
      </w:pPr>
      <w:r w:rsidRPr="00561D0B">
        <w:rPr>
          <w:color w:val="000000" w:themeColor="text1"/>
        </w:rPr>
        <w:t>With the COVID-19 pandemic severely affecting ou</w:t>
      </w:r>
      <w:r>
        <w:rPr>
          <w:color w:val="000000" w:themeColor="text1"/>
        </w:rPr>
        <w:t>r</w:t>
      </w:r>
      <w:r w:rsidRPr="00561D0B">
        <w:rPr>
          <w:color w:val="000000" w:themeColor="text1"/>
        </w:rPr>
        <w:t xml:space="preserve"> revenue sources, we expect the fiscal impact of the stimulus package to be sizeable. </w:t>
      </w:r>
      <w:r>
        <w:rPr>
          <w:color w:val="000000" w:themeColor="text1"/>
        </w:rPr>
        <w:t xml:space="preserve">Our commitment to prudential macro-fiscal policies in recent years </w:t>
      </w:r>
      <w:r w:rsidRPr="00561D0B">
        <w:rPr>
          <w:color w:val="000000" w:themeColor="text1"/>
        </w:rPr>
        <w:t>have allowed us to build sizeable fiscal buffers, including modest levels of public debt and sizeable deposits. However, we now require the support of our development partners to help close the financing gap and efficiently implement our</w:t>
      </w:r>
      <w:r>
        <w:rPr>
          <w:color w:val="000000" w:themeColor="text1"/>
        </w:rPr>
        <w:t xml:space="preserve"> Anti-Crisis Plan</w:t>
      </w:r>
      <w:r w:rsidRPr="00561D0B">
        <w:rPr>
          <w:color w:val="000000" w:themeColor="text1"/>
        </w:rPr>
        <w:t xml:space="preserve">. </w:t>
      </w:r>
      <w:r w:rsidR="005D1510" w:rsidRPr="00561D0B">
        <w:rPr>
          <w:color w:val="000000" w:themeColor="text1"/>
        </w:rPr>
        <w:t xml:space="preserve">To this end, we </w:t>
      </w:r>
      <w:proofErr w:type="gramStart"/>
      <w:r w:rsidR="005D1510" w:rsidRPr="00561D0B">
        <w:rPr>
          <w:color w:val="000000" w:themeColor="text1"/>
        </w:rPr>
        <w:t>requested</w:t>
      </w:r>
      <w:proofErr w:type="gramEnd"/>
      <w:r w:rsidRPr="00561D0B">
        <w:rPr>
          <w:color w:val="000000" w:themeColor="text1"/>
        </w:rPr>
        <w:t xml:space="preserve"> </w:t>
      </w:r>
      <w:r>
        <w:rPr>
          <w:color w:val="000000" w:themeColor="text1"/>
        </w:rPr>
        <w:t xml:space="preserve">and IMF has approved an </w:t>
      </w:r>
      <w:r w:rsidRPr="00561D0B">
        <w:rPr>
          <w:color w:val="000000" w:themeColor="text1"/>
        </w:rPr>
        <w:t>augmentation of US$380 million from the IMF’s Extended Fund Facility</w:t>
      </w:r>
      <w:r>
        <w:rPr>
          <w:color w:val="000000" w:themeColor="text1"/>
        </w:rPr>
        <w:t xml:space="preserve"> of which USD 200 million will be available for the budget gap financing</w:t>
      </w:r>
      <w:r w:rsidRPr="00561D0B">
        <w:rPr>
          <w:color w:val="000000" w:themeColor="text1"/>
        </w:rPr>
        <w:t xml:space="preserve">. Other </w:t>
      </w:r>
      <w:r w:rsidRPr="00561D0B">
        <w:rPr>
          <w:color w:val="000000" w:themeColor="text1"/>
        </w:rPr>
        <w:lastRenderedPageBreak/>
        <w:t xml:space="preserve">development partners have also indicated their support. Against this background, we would like to request access to ADB’s COVID-19 Pandemic Response Option for $100 million to help contain the outbreak and finance our </w:t>
      </w:r>
      <w:r>
        <w:rPr>
          <w:color w:val="000000" w:themeColor="text1"/>
        </w:rPr>
        <w:t>Anti-Crisis Plan</w:t>
      </w:r>
      <w:r w:rsidRPr="00561D0B">
        <w:rPr>
          <w:color w:val="000000" w:themeColor="text1"/>
        </w:rPr>
        <w:t xml:space="preserve">. </w:t>
      </w:r>
    </w:p>
    <w:p w14:paraId="6B43E35E" w14:textId="77777777" w:rsidR="002D5019" w:rsidRDefault="002D5019" w:rsidP="002D5019">
      <w:pPr>
        <w:spacing w:after="120" w:line="480" w:lineRule="auto"/>
        <w:rPr>
          <w:color w:val="000000" w:themeColor="text1"/>
        </w:rPr>
      </w:pPr>
      <w:r>
        <w:rPr>
          <w:color w:val="000000" w:themeColor="text1"/>
        </w:rPr>
        <w:t xml:space="preserve">ADB’s support will help us finance the anticipated deficit that we will incur and mitigate the already sizeable economic fallout that will result from the pandemic, affecting the poor and vulnerable disproportionately. This has led us to rethink the layout of our existing social welfare system to make it more inclusive and progressive yet fiscally sustainable. ADB has a significant role to play in this reform, and we would appreciate continued policy dialogue on these specific reform areas within the year. </w:t>
      </w:r>
    </w:p>
    <w:p w14:paraId="267684D0" w14:textId="77777777" w:rsidR="002D5019" w:rsidRDefault="002D5019" w:rsidP="002D5019">
      <w:pPr>
        <w:spacing w:after="120" w:line="480" w:lineRule="auto"/>
        <w:rPr>
          <w:color w:val="000000" w:themeColor="text1"/>
        </w:rPr>
      </w:pPr>
    </w:p>
    <w:p w14:paraId="2BD1D630" w14:textId="77777777" w:rsidR="002D5019" w:rsidRDefault="002D5019" w:rsidP="002D5019">
      <w:pPr>
        <w:spacing w:after="120" w:line="480" w:lineRule="auto"/>
        <w:rPr>
          <w:color w:val="000000" w:themeColor="text1"/>
        </w:rPr>
      </w:pPr>
      <w:r>
        <w:rPr>
          <w:color w:val="000000" w:themeColor="text1"/>
        </w:rPr>
        <w:t xml:space="preserve">Once again, I express my sincere gratitude to ADB for the support it has extended to the Government of Georgia in the most difficult of times. We are committed to working closely with you and other development partners under a strong and coordinated approach to ensure that all our interventions are complementary and help us overcome the critical challenges we now face. </w:t>
      </w:r>
    </w:p>
    <w:p w14:paraId="2C12B2E0" w14:textId="77777777" w:rsidR="002D5019" w:rsidRDefault="002D5019" w:rsidP="002D5019">
      <w:pPr>
        <w:spacing w:after="120" w:line="480" w:lineRule="auto"/>
        <w:rPr>
          <w:color w:val="000000" w:themeColor="text1"/>
        </w:rPr>
      </w:pPr>
    </w:p>
    <w:p w14:paraId="64650122" w14:textId="77777777" w:rsidR="002D5019" w:rsidRDefault="002D5019" w:rsidP="002D5019">
      <w:pPr>
        <w:spacing w:after="120" w:line="480" w:lineRule="auto"/>
        <w:rPr>
          <w:color w:val="000000" w:themeColor="text1"/>
        </w:rPr>
      </w:pPr>
      <w:r>
        <w:rPr>
          <w:color w:val="000000" w:themeColor="text1"/>
        </w:rPr>
        <w:t>Sincerely,</w:t>
      </w:r>
    </w:p>
    <w:p w14:paraId="3E1EB078" w14:textId="77777777" w:rsidR="00E377DB" w:rsidRDefault="00E377DB" w:rsidP="002D5019">
      <w:pPr>
        <w:spacing w:after="120" w:line="480" w:lineRule="auto"/>
        <w:rPr>
          <w:color w:val="000000" w:themeColor="text1"/>
        </w:rPr>
      </w:pPr>
    </w:p>
    <w:p w14:paraId="3F2DF55C" w14:textId="5670BD65" w:rsidR="002D5019" w:rsidRPr="00561D0B" w:rsidRDefault="002D5019" w:rsidP="002D5019">
      <w:pPr>
        <w:spacing w:after="120" w:line="480" w:lineRule="auto"/>
        <w:rPr>
          <w:color w:val="000000" w:themeColor="text1"/>
        </w:rPr>
      </w:pPr>
      <w:proofErr w:type="spellStart"/>
      <w:r w:rsidRPr="00867FF9">
        <w:rPr>
          <w:color w:val="000000" w:themeColor="text1"/>
        </w:rPr>
        <w:t>Ivane</w:t>
      </w:r>
      <w:proofErr w:type="spellEnd"/>
      <w:r w:rsidRPr="00867FF9">
        <w:rPr>
          <w:color w:val="000000" w:themeColor="text1"/>
        </w:rPr>
        <w:t xml:space="preserve"> </w:t>
      </w:r>
      <w:proofErr w:type="spellStart"/>
      <w:r w:rsidRPr="00867FF9">
        <w:rPr>
          <w:color w:val="000000" w:themeColor="text1"/>
        </w:rPr>
        <w:t>Matchavariani</w:t>
      </w:r>
      <w:proofErr w:type="spellEnd"/>
      <w:r>
        <w:rPr>
          <w:color w:val="000000" w:themeColor="text1"/>
        </w:rPr>
        <w:t xml:space="preserve"> </w:t>
      </w:r>
    </w:p>
    <w:p w14:paraId="469A303D" w14:textId="77777777" w:rsidR="002D5019" w:rsidRDefault="002D5019" w:rsidP="002D5019"/>
    <w:p w14:paraId="694B81CA" w14:textId="65319898" w:rsidR="0084019D" w:rsidRDefault="0084019D" w:rsidP="0084019D">
      <w:pPr>
        <w:spacing w:after="120" w:line="480" w:lineRule="auto"/>
        <w:rPr>
          <w:color w:val="000000" w:themeColor="text1"/>
        </w:rPr>
        <w:sectPr w:rsidR="0084019D" w:rsidSect="00D27DD1">
          <w:headerReference w:type="even" r:id="rId34"/>
          <w:headerReference w:type="default" r:id="rId35"/>
          <w:footnotePr>
            <w:numRestart w:val="eachSect"/>
          </w:footnotePr>
          <w:endnotePr>
            <w:numRestart w:val="eachSect"/>
          </w:endnotePr>
          <w:pgSz w:w="12240" w:h="15840" w:code="1"/>
          <w:pgMar w:top="1296" w:right="1440" w:bottom="1296" w:left="1440" w:header="720" w:footer="720" w:gutter="0"/>
          <w:cols w:space="720"/>
          <w:docGrid w:linePitch="299"/>
        </w:sectPr>
      </w:pPr>
    </w:p>
    <w:p w14:paraId="0B186623" w14:textId="77777777" w:rsidR="00242037" w:rsidRDefault="00242037" w:rsidP="00FD3354">
      <w:pPr>
        <w:autoSpaceDE w:val="0"/>
        <w:autoSpaceDN w:val="0"/>
        <w:adjustRightInd w:val="0"/>
        <w:jc w:val="center"/>
        <w:rPr>
          <w:rFonts w:ascii="Helvetica-Bold" w:hAnsi="Helvetica-Bold" w:cs="Helvetica-Bold"/>
          <w:b/>
          <w:bCs/>
        </w:rPr>
      </w:pPr>
      <w:r>
        <w:rPr>
          <w:rFonts w:ascii="Helvetica-Bold" w:hAnsi="Helvetica-Bold" w:cs="Helvetica-Bold"/>
          <w:b/>
          <w:bCs/>
        </w:rPr>
        <w:lastRenderedPageBreak/>
        <w:t>ASSESSMENT OF COMPLIANCE WITH THE ACCESS CRITERIA FOR THE COUNTERCYCLICAL SUPPORT FACILITY AND</w:t>
      </w:r>
    </w:p>
    <w:p w14:paraId="45C8F70F" w14:textId="4212F63A" w:rsidR="00AF1C9D" w:rsidRDefault="00242037" w:rsidP="00FD3354">
      <w:pPr>
        <w:spacing w:after="120" w:line="480" w:lineRule="auto"/>
        <w:jc w:val="center"/>
        <w:rPr>
          <w:rFonts w:ascii="Helvetica-Bold" w:hAnsi="Helvetica-Bold" w:cs="Helvetica-Bold"/>
          <w:b/>
          <w:bCs/>
        </w:rPr>
      </w:pPr>
      <w:r>
        <w:rPr>
          <w:rFonts w:ascii="Helvetica-Bold" w:hAnsi="Helvetica-Bold" w:cs="Helvetica-Bold"/>
          <w:b/>
          <w:bCs/>
        </w:rPr>
        <w:t>COVID-19 PANDEMIC RESPONSE OPTION</w:t>
      </w:r>
    </w:p>
    <w:tbl>
      <w:tblPr>
        <w:tblW w:w="1269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4"/>
        <w:gridCol w:w="10096"/>
      </w:tblGrid>
      <w:tr w:rsidR="00242037" w:rsidRPr="0020177B" w14:paraId="40EC9F74" w14:textId="77777777" w:rsidTr="00FD3354">
        <w:trPr>
          <w:trHeight w:val="41"/>
          <w:tblHeader/>
        </w:trPr>
        <w:tc>
          <w:tcPr>
            <w:tcW w:w="2594" w:type="dxa"/>
            <w:tcBorders>
              <w:top w:val="single" w:sz="6" w:space="0" w:color="auto"/>
              <w:left w:val="single" w:sz="6" w:space="0" w:color="auto"/>
              <w:bottom w:val="single" w:sz="6" w:space="0" w:color="auto"/>
              <w:right w:val="nil"/>
            </w:tcBorders>
            <w:shd w:val="clear" w:color="auto" w:fill="auto"/>
          </w:tcPr>
          <w:p w14:paraId="1325EEED" w14:textId="6CA9A82C" w:rsidR="00242037" w:rsidRPr="00500FEB" w:rsidRDefault="00242037" w:rsidP="00C90E1D">
            <w:pPr>
              <w:jc w:val="left"/>
              <w:textAlignment w:val="baseline"/>
              <w:rPr>
                <w:rFonts w:eastAsia="Times New Roman" w:cs="Arial"/>
                <w:b/>
                <w:color w:val="000000"/>
              </w:rPr>
            </w:pPr>
            <w:r w:rsidRPr="00500FEB">
              <w:rPr>
                <w:rFonts w:eastAsia="Times New Roman" w:cs="Arial"/>
                <w:b/>
                <w:color w:val="000000"/>
              </w:rPr>
              <w:t>Access Criteria</w:t>
            </w:r>
          </w:p>
        </w:tc>
        <w:tc>
          <w:tcPr>
            <w:tcW w:w="10096" w:type="dxa"/>
            <w:tcBorders>
              <w:top w:val="single" w:sz="6" w:space="0" w:color="auto"/>
              <w:left w:val="single" w:sz="6" w:space="0" w:color="auto"/>
              <w:bottom w:val="single" w:sz="6" w:space="0" w:color="auto"/>
              <w:right w:val="single" w:sz="6" w:space="0" w:color="auto"/>
            </w:tcBorders>
            <w:shd w:val="clear" w:color="auto" w:fill="auto"/>
          </w:tcPr>
          <w:p w14:paraId="314BB85D" w14:textId="6A752993" w:rsidR="00242037" w:rsidRPr="00500FEB" w:rsidRDefault="00242037" w:rsidP="00C90E1D">
            <w:pPr>
              <w:jc w:val="center"/>
              <w:textAlignment w:val="baseline"/>
              <w:rPr>
                <w:rFonts w:eastAsia="Times New Roman" w:cs="Arial"/>
                <w:b/>
                <w:color w:val="000000"/>
              </w:rPr>
            </w:pPr>
            <w:r w:rsidRPr="00500FEB">
              <w:rPr>
                <w:rFonts w:eastAsia="Times New Roman" w:cs="Arial"/>
                <w:b/>
                <w:color w:val="000000"/>
              </w:rPr>
              <w:t>A</w:t>
            </w:r>
            <w:r w:rsidR="00FD3354">
              <w:rPr>
                <w:rFonts w:eastAsia="Times New Roman" w:cs="Arial"/>
                <w:b/>
                <w:color w:val="000000"/>
              </w:rPr>
              <w:t xml:space="preserve">sian </w:t>
            </w:r>
            <w:r w:rsidRPr="00500FEB">
              <w:rPr>
                <w:rFonts w:eastAsia="Times New Roman" w:cs="Arial"/>
                <w:b/>
                <w:color w:val="000000"/>
              </w:rPr>
              <w:t>D</w:t>
            </w:r>
            <w:r w:rsidR="00FD3354">
              <w:rPr>
                <w:rFonts w:eastAsia="Times New Roman" w:cs="Arial"/>
                <w:b/>
                <w:color w:val="000000"/>
              </w:rPr>
              <w:t xml:space="preserve">evelopment </w:t>
            </w:r>
            <w:r w:rsidRPr="00500FEB">
              <w:rPr>
                <w:rFonts w:eastAsia="Times New Roman" w:cs="Arial"/>
                <w:b/>
                <w:color w:val="000000"/>
              </w:rPr>
              <w:t>B</w:t>
            </w:r>
            <w:r w:rsidR="00FD3354">
              <w:rPr>
                <w:rFonts w:eastAsia="Times New Roman" w:cs="Arial"/>
                <w:b/>
                <w:color w:val="000000"/>
              </w:rPr>
              <w:t>ank</w:t>
            </w:r>
            <w:r w:rsidRPr="00500FEB">
              <w:rPr>
                <w:rFonts w:eastAsia="Times New Roman" w:cs="Arial"/>
                <w:b/>
                <w:color w:val="000000"/>
              </w:rPr>
              <w:t xml:space="preserve"> Assessment</w:t>
            </w:r>
          </w:p>
        </w:tc>
      </w:tr>
      <w:tr w:rsidR="00242037" w:rsidRPr="0020177B" w14:paraId="504C4DD8" w14:textId="77777777" w:rsidTr="00FD3354">
        <w:trPr>
          <w:trHeight w:val="805"/>
        </w:trPr>
        <w:tc>
          <w:tcPr>
            <w:tcW w:w="2594" w:type="dxa"/>
            <w:tcBorders>
              <w:top w:val="single" w:sz="6" w:space="0" w:color="auto"/>
              <w:left w:val="single" w:sz="6" w:space="0" w:color="auto"/>
              <w:bottom w:val="single" w:sz="6" w:space="0" w:color="auto"/>
              <w:right w:val="nil"/>
            </w:tcBorders>
            <w:shd w:val="clear" w:color="auto" w:fill="auto"/>
            <w:hideMark/>
          </w:tcPr>
          <w:p w14:paraId="50ADEC8C"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t>1. Adverse Impact of Exogenous Shocks​</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3B5894AC" w14:textId="77777777" w:rsidR="00242037" w:rsidRPr="00500FEB" w:rsidRDefault="00242037" w:rsidP="00C90E1D">
            <w:pPr>
              <w:ind w:left="144" w:right="144"/>
              <w:textAlignment w:val="baseline"/>
              <w:rPr>
                <w:rFonts w:eastAsia="Times New Roman" w:cs="Arial"/>
                <w:color w:val="000000"/>
              </w:rPr>
            </w:pPr>
            <w:r w:rsidRPr="00500FEB">
              <w:rPr>
                <w:rFonts w:eastAsia="Times New Roman" w:cs="Arial"/>
                <w:color w:val="000000"/>
              </w:rPr>
              <w:t>Due to the COVID-19 pandemic, the IMF estimates GDP growth in Georgia to decline to -4% in 2020 against the original estimate of 4.3%, amounting to a $3.6 billion loss in economic output. The number of unemployed people could triple which, in addition to an expected increase in loss of income by those in the informal sector, would significantly threaten the livelihoods of 49% of Georgians which are currently considered poor or vulnerable to poverty. Economic slowdown, led by a contraction in domestic demand and investment as well as sharp contraction in the tourism sector, foreign direct investments, trade, and remittances, is threatening the development gains Georgia achieved over the last decade. A protracted crisis is limiting the fiscal space needed to mitigate health and economic impacts. A decline of 23.3% in revenue collection against the original estimate for 2020 - led by a reduction of 1.6% in the tax-to-GDP ratio - will widen the fiscal deficit to 8.1% against the original estimate of 2.2% of GDP. The government’s ability to meet gross financing needs is further constrained by exchange rate and inflationary pressures as well as growing uncertainty in the financial markets resulting in higher costs of borrowing.</w:t>
            </w:r>
          </w:p>
        </w:tc>
      </w:tr>
      <w:tr w:rsidR="00242037" w:rsidRPr="0020177B" w14:paraId="4D070C64" w14:textId="77777777" w:rsidTr="00FD3354">
        <w:trPr>
          <w:trHeight w:val="405"/>
        </w:trPr>
        <w:tc>
          <w:tcPr>
            <w:tcW w:w="2594" w:type="dxa"/>
            <w:tcBorders>
              <w:top w:val="single" w:sz="6" w:space="0" w:color="auto"/>
              <w:left w:val="single" w:sz="6" w:space="0" w:color="auto"/>
              <w:bottom w:val="single" w:sz="6" w:space="0" w:color="auto"/>
              <w:right w:val="nil"/>
            </w:tcBorders>
            <w:shd w:val="clear" w:color="auto" w:fill="auto"/>
            <w:hideMark/>
          </w:tcPr>
          <w:p w14:paraId="1A533CA0"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t>2. Countercyclical development expenditures ​</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064981D9" w14:textId="77777777" w:rsidR="00242037" w:rsidRPr="00500FEB" w:rsidRDefault="00242037" w:rsidP="00C90E1D">
            <w:pPr>
              <w:ind w:left="144" w:right="144"/>
              <w:textAlignment w:val="baseline"/>
              <w:rPr>
                <w:rFonts w:eastAsia="Times New Roman" w:cs="Arial"/>
                <w:bCs/>
                <w:color w:val="000000"/>
              </w:rPr>
            </w:pPr>
            <w:r w:rsidRPr="00500FEB">
              <w:rPr>
                <w:rFonts w:eastAsia="Times New Roman" w:cs="Arial"/>
                <w:bCs/>
                <w:color w:val="000000"/>
              </w:rPr>
              <w:t xml:space="preserve">The government announced a GEL3.5 billion ($1.1 billion) plan, to cover higher spending in the health sector, provide assistance to affected private sector entities, and support the unemployed, poor and vulnerable with a GEL1.035 billion ($329 million) social assistance package. The total expenditure package amounts to 7.4% of GDP, one of the highest in the region. The government has also adopted a range of countercyclical monetary policy measures for price stability and adequate liquidity in the financial system.  </w:t>
            </w:r>
          </w:p>
        </w:tc>
      </w:tr>
      <w:tr w:rsidR="00242037" w:rsidRPr="0020177B" w14:paraId="1B9A1604" w14:textId="77777777" w:rsidTr="00FD3354">
        <w:trPr>
          <w:trHeight w:val="1167"/>
        </w:trPr>
        <w:tc>
          <w:tcPr>
            <w:tcW w:w="2594" w:type="dxa"/>
            <w:tcBorders>
              <w:top w:val="single" w:sz="6" w:space="0" w:color="auto"/>
              <w:left w:val="single" w:sz="6" w:space="0" w:color="auto"/>
              <w:bottom w:val="single" w:sz="6" w:space="0" w:color="auto"/>
              <w:right w:val="nil"/>
            </w:tcBorders>
            <w:shd w:val="clear" w:color="auto" w:fill="auto"/>
            <w:hideMark/>
          </w:tcPr>
          <w:p w14:paraId="227338C3"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t>3. Pre-shock Record of sound macroeconomic Management​</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395561EA" w14:textId="77777777" w:rsidR="00242037" w:rsidRPr="00500FEB" w:rsidRDefault="00242037" w:rsidP="00C90E1D">
            <w:pPr>
              <w:ind w:left="144" w:right="144"/>
              <w:textAlignment w:val="baseline"/>
              <w:rPr>
                <w:rFonts w:eastAsia="Times New Roman" w:cs="Arial"/>
                <w:bCs/>
                <w:color w:val="000000"/>
              </w:rPr>
            </w:pPr>
            <w:r w:rsidRPr="00500FEB">
              <w:rPr>
                <w:rFonts w:eastAsia="Times New Roman" w:cs="Arial"/>
                <w:bCs/>
                <w:color w:val="000000"/>
              </w:rPr>
              <w:t>As noted by the IMF, “</w:t>
            </w:r>
            <w:r w:rsidRPr="00500FEB">
              <w:rPr>
                <w:rFonts w:eastAsia="Times New Roman" w:cs="Arial"/>
                <w:bCs/>
                <w:i/>
                <w:iCs/>
                <w:color w:val="000000"/>
              </w:rPr>
              <w:t>the COVID-19 outbreak has hit the Georgian economy hard [and] growth prospects for 2020 have weakened sharply</w:t>
            </w:r>
            <w:r w:rsidRPr="00500FEB">
              <w:rPr>
                <w:rFonts w:eastAsia="Times New Roman" w:cs="Arial"/>
                <w:bCs/>
                <w:color w:val="000000"/>
              </w:rPr>
              <w:t>”</w:t>
            </w:r>
            <w:r w:rsidRPr="00500FEB">
              <w:rPr>
                <w:rFonts w:eastAsia="Times New Roman" w:cs="Arial"/>
                <w:bCs/>
                <w:color w:val="000000"/>
                <w:vertAlign w:val="superscript"/>
              </w:rPr>
              <w:t xml:space="preserve"> a</w:t>
            </w:r>
            <w:r w:rsidRPr="00500FEB">
              <w:rPr>
                <w:rFonts w:eastAsia="Times New Roman" w:cs="Arial"/>
                <w:bCs/>
                <w:color w:val="000000"/>
              </w:rPr>
              <w:t xml:space="preserve"> as a result of it. Prior to the COVID-19 pandemic, Georgia’s economy expanded at an average of 4.7% between 2011–2019 and was expected to grow by 4.3% in 2020. Public debt-to-GDP, the fiscal deficit and total expenditure as a share of GDP were all expected to remain below their maximum ceilings, at 44.5%, 2.2% and 28.3% respectively. Reforms to tax administration led to a higher-than-anticipated tax revenue collection, reaching 23.7% of GDP in 2019. The only significant risk faced by the authorities prior to COVID-19 stemmed from inflationary pressures, which the National Bank of Georgia targeted appropriately through tightened monetary policy. The banking sector’s performance was also expected to remain robust, with an increase in credit to the private sector, improved asset quality and higher liquidity despite marginally lower profitability. The IMF’s favorable assessment letter confirm ADB staff’s assessment that the economic downturn is due to the COVID-19 pandemic, not to previous macroeconomic mismanagement. </w:t>
            </w:r>
          </w:p>
        </w:tc>
      </w:tr>
      <w:tr w:rsidR="00242037" w:rsidRPr="0020177B" w14:paraId="4239FA95" w14:textId="77777777" w:rsidTr="00FD3354">
        <w:trPr>
          <w:trHeight w:val="340"/>
        </w:trPr>
        <w:tc>
          <w:tcPr>
            <w:tcW w:w="2594" w:type="dxa"/>
            <w:tcBorders>
              <w:top w:val="single" w:sz="6" w:space="0" w:color="auto"/>
              <w:left w:val="single" w:sz="6" w:space="0" w:color="auto"/>
              <w:bottom w:val="single" w:sz="6" w:space="0" w:color="auto"/>
              <w:right w:val="nil"/>
            </w:tcBorders>
            <w:shd w:val="clear" w:color="auto" w:fill="auto"/>
            <w:hideMark/>
          </w:tcPr>
          <w:p w14:paraId="014B604A"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lastRenderedPageBreak/>
              <w:t>4. Structural reforms​ and pandemic response plan</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43B99946" w14:textId="77777777" w:rsidR="00242037" w:rsidRPr="00500FEB" w:rsidRDefault="00242037" w:rsidP="00C90E1D">
            <w:pPr>
              <w:ind w:left="144" w:right="144"/>
              <w:textAlignment w:val="baseline"/>
              <w:rPr>
                <w:rFonts w:eastAsia="Times New Roman" w:cs="Arial"/>
                <w:bCs/>
                <w:color w:val="000000"/>
              </w:rPr>
            </w:pPr>
            <w:r w:rsidRPr="00500FEB">
              <w:rPr>
                <w:rFonts w:eastAsia="Times New Roman" w:cs="Arial"/>
                <w:bCs/>
                <w:color w:val="000000"/>
              </w:rPr>
              <w:t xml:space="preserve">Georgia has made credible commitments to continue its ambitious reform path despite the COVID-19 crisis under International Monetary Fund and World Bank policy-based </w:t>
            </w:r>
            <w:proofErr w:type="spellStart"/>
            <w:r w:rsidRPr="00500FEB">
              <w:rPr>
                <w:rFonts w:eastAsia="Times New Roman" w:cs="Arial"/>
                <w:bCs/>
                <w:color w:val="000000"/>
              </w:rPr>
              <w:t>operations</w:t>
            </w:r>
            <w:r w:rsidRPr="00500FEB">
              <w:rPr>
                <w:rFonts w:eastAsia="Times New Roman" w:cs="Arial"/>
                <w:bCs/>
                <w:color w:val="000000"/>
                <w:vertAlign w:val="superscript"/>
              </w:rPr>
              <w:t>b</w:t>
            </w:r>
            <w:proofErr w:type="spellEnd"/>
            <w:r w:rsidRPr="00500FEB">
              <w:rPr>
                <w:rFonts w:eastAsia="Times New Roman" w:cs="Arial"/>
                <w:bCs/>
                <w:color w:val="000000"/>
              </w:rPr>
              <w:t xml:space="preserve"> and planned policy reforms supported by </w:t>
            </w:r>
            <w:proofErr w:type="spellStart"/>
            <w:r w:rsidRPr="00500FEB">
              <w:rPr>
                <w:rFonts w:eastAsia="Times New Roman" w:cs="Arial"/>
                <w:bCs/>
                <w:color w:val="000000"/>
              </w:rPr>
              <w:t>ADB.</w:t>
            </w:r>
            <w:r w:rsidRPr="00500FEB">
              <w:rPr>
                <w:rFonts w:eastAsia="Times New Roman" w:cs="Arial"/>
                <w:bCs/>
                <w:color w:val="000000"/>
                <w:vertAlign w:val="superscript"/>
              </w:rPr>
              <w:t>c</w:t>
            </w:r>
            <w:proofErr w:type="spellEnd"/>
            <w:r w:rsidRPr="00500FEB">
              <w:rPr>
                <w:rFonts w:eastAsia="Times New Roman" w:cs="Arial"/>
                <w:bCs/>
                <w:color w:val="000000"/>
              </w:rPr>
              <w:t xml:space="preserve"> In response to the crisis, the government established an IACC under the direction of the Prime Minister in February 2020. The IACC has taken decisive and credible steps to contain the spread of COVID-19 and mitigate the recessionary impact on the economy. The declaration of a national State of Emergency in March 2020 was followed by the publication of an extensive list of containment measures and, soon after, the announcement of a comprehensive response package supporting health sector resilience, affected businesses, and the poor and vulnerable during the crisis. IACC is monitoring the implementation of the package in coordination with the Ministry of Finance who will be reporting to ADB on implementation on a quarterly basis.</w:t>
            </w:r>
          </w:p>
        </w:tc>
      </w:tr>
      <w:tr w:rsidR="00242037" w:rsidRPr="0020177B" w14:paraId="38C8E0F3" w14:textId="77777777" w:rsidTr="00FD3354">
        <w:trPr>
          <w:trHeight w:val="623"/>
        </w:trPr>
        <w:tc>
          <w:tcPr>
            <w:tcW w:w="2594" w:type="dxa"/>
            <w:tcBorders>
              <w:top w:val="single" w:sz="6" w:space="0" w:color="auto"/>
              <w:left w:val="single" w:sz="6" w:space="0" w:color="auto"/>
              <w:bottom w:val="single" w:sz="6" w:space="0" w:color="auto"/>
              <w:right w:val="nil"/>
            </w:tcBorders>
            <w:shd w:val="clear" w:color="auto" w:fill="auto"/>
            <w:hideMark/>
          </w:tcPr>
          <w:p w14:paraId="454EF780"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t>5. Debt sustainability​</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46AE7F81" w14:textId="77777777" w:rsidR="00242037" w:rsidRDefault="00242037" w:rsidP="00C90E1D">
            <w:pPr>
              <w:ind w:left="144" w:right="144"/>
              <w:textAlignment w:val="baseline"/>
              <w:rPr>
                <w:rFonts w:eastAsia="Times New Roman" w:cs="Arial"/>
                <w:bCs/>
                <w:color w:val="000000"/>
              </w:rPr>
            </w:pPr>
            <w:r w:rsidRPr="00500FEB">
              <w:rPr>
                <w:rFonts w:eastAsia="Times New Roman" w:cs="Arial"/>
                <w:bCs/>
                <w:color w:val="000000"/>
              </w:rPr>
              <w:t xml:space="preserve">Public debt-to-GDP ratio has been stable in recent years, hovering below 45% of GDP. Despite an expected substantial increase in 2020, led by temporary spending financed by development partners and domestic borrowing, ADB assessment concludes public debt remains stable in all standardized stress tests and is expected to remain sustainable over the medium </w:t>
            </w:r>
            <w:proofErr w:type="spellStart"/>
            <w:r w:rsidRPr="00500FEB">
              <w:rPr>
                <w:rFonts w:eastAsia="Times New Roman" w:cs="Arial"/>
                <w:bCs/>
                <w:color w:val="000000"/>
              </w:rPr>
              <w:t>term.</w:t>
            </w:r>
            <w:r w:rsidRPr="00500FEB">
              <w:rPr>
                <w:rFonts w:eastAsia="Times New Roman" w:cs="Arial"/>
                <w:bCs/>
                <w:color w:val="000000"/>
                <w:vertAlign w:val="superscript"/>
              </w:rPr>
              <w:t>d</w:t>
            </w:r>
            <w:proofErr w:type="spellEnd"/>
            <w:r w:rsidRPr="00500FEB">
              <w:rPr>
                <w:rFonts w:eastAsia="Times New Roman" w:cs="Arial"/>
                <w:bCs/>
                <w:color w:val="000000"/>
              </w:rPr>
              <w:t xml:space="preserve"> The CARES Program will have a minimal impact on Georgia’s debt-to-GDP ratio and will amount to 1.03% of public debt in 2020. With the CARES Program, public debt-to-GDP ratio will increase from 61.6% to 62.6% of GDP.</w:t>
            </w:r>
          </w:p>
          <w:p w14:paraId="0179CD62" w14:textId="5C3E8BEF" w:rsidR="00242037" w:rsidRPr="00500FEB" w:rsidRDefault="000A1811" w:rsidP="00C90E1D">
            <w:pPr>
              <w:ind w:left="144" w:right="144"/>
              <w:textAlignment w:val="baseline"/>
              <w:rPr>
                <w:rFonts w:eastAsia="Times New Roman" w:cs="Arial"/>
                <w:bCs/>
                <w:color w:val="000000"/>
              </w:rPr>
            </w:pPr>
            <w:r w:rsidRPr="000A1811">
              <w:rPr>
                <w:rFonts w:eastAsia="Times New Roman" w:cs="Arial"/>
                <w:bCs/>
                <w:color w:val="000000"/>
              </w:rPr>
              <w:t xml:space="preserve">Financial assistance from the ADB will not aggravate Georgia’s debt vulnerabilities and fiscal risks in the medium term. While providing critical countercyclical support to the economy, the proposed ADB loans in the amount of $630 million represent just 8.3% percent of Georgia’s public debt stock of nearly $7.6 billion. These loans, on broadly concessional terms, will not add significantly to the annual debt service obligations facing the Government. Additional loans approved or under proposal by the World Bank ($180 million), the International Monetary Fund ($200 million), the </w:t>
            </w:r>
            <w:proofErr w:type="spellStart"/>
            <w:r w:rsidRPr="000A1811">
              <w:rPr>
                <w:rFonts w:eastAsia="Times New Roman" w:cs="Arial"/>
                <w:bCs/>
                <w:color w:val="000000"/>
              </w:rPr>
              <w:t>Agence</w:t>
            </w:r>
            <w:proofErr w:type="spellEnd"/>
            <w:r w:rsidRPr="000A1811">
              <w:rPr>
                <w:rFonts w:eastAsia="Times New Roman" w:cs="Arial"/>
                <w:bCs/>
                <w:color w:val="000000"/>
              </w:rPr>
              <w:t xml:space="preserve"> </w:t>
            </w:r>
            <w:proofErr w:type="spellStart"/>
            <w:r w:rsidRPr="000A1811">
              <w:rPr>
                <w:rFonts w:eastAsia="Times New Roman" w:cs="Arial"/>
                <w:bCs/>
                <w:color w:val="000000"/>
              </w:rPr>
              <w:t>Française</w:t>
            </w:r>
            <w:proofErr w:type="spellEnd"/>
            <w:r w:rsidRPr="000A1811">
              <w:rPr>
                <w:rFonts w:eastAsia="Times New Roman" w:cs="Arial"/>
                <w:bCs/>
                <w:color w:val="000000"/>
              </w:rPr>
              <w:t xml:space="preserve"> de </w:t>
            </w:r>
            <w:proofErr w:type="spellStart"/>
            <w:r w:rsidRPr="000A1811">
              <w:rPr>
                <w:rFonts w:eastAsia="Times New Roman" w:cs="Arial"/>
                <w:bCs/>
                <w:color w:val="000000"/>
              </w:rPr>
              <w:t>Développement</w:t>
            </w:r>
            <w:proofErr w:type="spellEnd"/>
            <w:r w:rsidRPr="000A1811">
              <w:rPr>
                <w:rFonts w:eastAsia="Times New Roman" w:cs="Arial"/>
                <w:bCs/>
                <w:color w:val="000000"/>
              </w:rPr>
              <w:t xml:space="preserve"> ($205 million), the </w:t>
            </w:r>
            <w:proofErr w:type="spellStart"/>
            <w:r w:rsidRPr="000A1811">
              <w:rPr>
                <w:rFonts w:eastAsia="Times New Roman" w:cs="Arial"/>
                <w:bCs/>
                <w:color w:val="000000"/>
              </w:rPr>
              <w:t>KfW</w:t>
            </w:r>
            <w:proofErr w:type="spellEnd"/>
            <w:r w:rsidRPr="000A1811">
              <w:rPr>
                <w:rFonts w:eastAsia="Times New Roman" w:cs="Arial"/>
                <w:bCs/>
                <w:color w:val="000000"/>
              </w:rPr>
              <w:t xml:space="preserve"> ($100 million), the European Union ($95 million), and the Asian Infrastructure Investment Bank ($100 million) would jointly add another 11.6%  to the public debt stock. Together, lending from all these institutions would lift public debt initially to 72% of GDP in 2020, and to 58% of GDP by 2024.</w:t>
            </w:r>
          </w:p>
        </w:tc>
      </w:tr>
      <w:tr w:rsidR="00242037" w:rsidRPr="0020177B" w14:paraId="0A9D5163" w14:textId="77777777" w:rsidTr="00FD3354">
        <w:trPr>
          <w:trHeight w:val="464"/>
        </w:trPr>
        <w:tc>
          <w:tcPr>
            <w:tcW w:w="2594" w:type="dxa"/>
            <w:tcBorders>
              <w:top w:val="single" w:sz="6" w:space="0" w:color="auto"/>
              <w:left w:val="single" w:sz="6" w:space="0" w:color="auto"/>
              <w:bottom w:val="single" w:sz="6" w:space="0" w:color="auto"/>
              <w:right w:val="nil"/>
            </w:tcBorders>
            <w:shd w:val="clear" w:color="auto" w:fill="auto"/>
            <w:hideMark/>
          </w:tcPr>
          <w:p w14:paraId="0D6A9489" w14:textId="77777777" w:rsidR="00242037" w:rsidRPr="00500FEB" w:rsidRDefault="00242037" w:rsidP="00C90E1D">
            <w:pPr>
              <w:ind w:left="144" w:right="144"/>
              <w:jc w:val="left"/>
              <w:textAlignment w:val="baseline"/>
              <w:rPr>
                <w:rFonts w:eastAsia="Times New Roman" w:cs="Arial"/>
                <w:bCs/>
                <w:color w:val="000000"/>
              </w:rPr>
            </w:pPr>
            <w:r w:rsidRPr="00500FEB">
              <w:rPr>
                <w:rFonts w:eastAsia="Times New Roman" w:cs="Arial"/>
                <w:bCs/>
                <w:color w:val="000000"/>
              </w:rPr>
              <w:t>6. Coordination the International Monetary Fund​</w:t>
            </w:r>
          </w:p>
        </w:tc>
        <w:tc>
          <w:tcPr>
            <w:tcW w:w="10096" w:type="dxa"/>
            <w:tcBorders>
              <w:top w:val="single" w:sz="6" w:space="0" w:color="auto"/>
              <w:left w:val="single" w:sz="6" w:space="0" w:color="auto"/>
              <w:bottom w:val="single" w:sz="6" w:space="0" w:color="auto"/>
              <w:right w:val="single" w:sz="6" w:space="0" w:color="auto"/>
            </w:tcBorders>
            <w:shd w:val="clear" w:color="auto" w:fill="auto"/>
            <w:hideMark/>
          </w:tcPr>
          <w:p w14:paraId="4CD10AEF" w14:textId="1EE9D73C" w:rsidR="00242037" w:rsidRPr="00500FEB" w:rsidRDefault="00242037" w:rsidP="00C90E1D">
            <w:pPr>
              <w:ind w:left="144" w:right="144"/>
              <w:textAlignment w:val="baseline"/>
              <w:rPr>
                <w:rFonts w:eastAsia="Times New Roman" w:cs="Arial"/>
                <w:bCs/>
                <w:color w:val="000000"/>
              </w:rPr>
            </w:pPr>
            <w:r w:rsidRPr="00500FEB">
              <w:rPr>
                <w:rFonts w:eastAsia="Times New Roman" w:cs="Arial"/>
                <w:bCs/>
                <w:color w:val="000000"/>
              </w:rPr>
              <w:t>ADB has consulted with IMF and is in close contact with its relevant staff on macroeconomic monitoring. IMF has a favorable assessment letter (linked documents 9). ​The IMF has reached staff-level agreement on a $345 million augmentation of the current program, helping the authorities meet shock-related needs, and build buffers.</w:t>
            </w:r>
          </w:p>
        </w:tc>
      </w:tr>
    </w:tbl>
    <w:p w14:paraId="4B7F3CCE" w14:textId="77777777" w:rsidR="00BD152A" w:rsidRDefault="00BD152A" w:rsidP="00242037">
      <w:pPr>
        <w:spacing w:after="120" w:line="480" w:lineRule="auto"/>
        <w:rPr>
          <w:color w:val="FF0000"/>
        </w:rPr>
        <w:sectPr w:rsidR="00BD152A" w:rsidSect="00500FEB">
          <w:headerReference w:type="even" r:id="rId36"/>
          <w:headerReference w:type="default" r:id="rId37"/>
          <w:footnotePr>
            <w:numRestart w:val="eachSect"/>
          </w:footnotePr>
          <w:endnotePr>
            <w:numRestart w:val="eachSect"/>
          </w:endnotePr>
          <w:pgSz w:w="15840" w:h="12240" w:orient="landscape" w:code="1"/>
          <w:pgMar w:top="1440" w:right="1296" w:bottom="1440" w:left="1296" w:header="720" w:footer="720" w:gutter="0"/>
          <w:cols w:space="720"/>
          <w:docGrid w:linePitch="299"/>
        </w:sectPr>
      </w:pPr>
    </w:p>
    <w:tbl>
      <w:tblPr>
        <w:tblStyle w:val="TableGrid"/>
        <w:tblpPr w:leftFromText="180" w:rightFromText="180" w:vertAnchor="page" w:horzAnchor="margin" w:tblpY="2016"/>
        <w:tblW w:w="9360" w:type="dxa"/>
        <w:tblLayout w:type="fixed"/>
        <w:tblLook w:val="04A0" w:firstRow="1" w:lastRow="0" w:firstColumn="1" w:lastColumn="0" w:noHBand="0" w:noVBand="1"/>
      </w:tblPr>
      <w:tblGrid>
        <w:gridCol w:w="1615"/>
        <w:gridCol w:w="6226"/>
        <w:gridCol w:w="715"/>
        <w:gridCol w:w="804"/>
      </w:tblGrid>
      <w:tr w:rsidR="0008785D" w:rsidRPr="00377268" w14:paraId="19319C36" w14:textId="77777777" w:rsidTr="0008785D">
        <w:trPr>
          <w:trHeight w:val="113"/>
          <w:tblHeader/>
        </w:trPr>
        <w:tc>
          <w:tcPr>
            <w:tcW w:w="9360" w:type="dxa"/>
            <w:gridSpan w:val="4"/>
            <w:shd w:val="clear" w:color="auto" w:fill="auto"/>
          </w:tcPr>
          <w:p w14:paraId="2CB79090" w14:textId="77777777" w:rsidR="0008785D" w:rsidRPr="00377268" w:rsidRDefault="0008785D" w:rsidP="0008785D">
            <w:pPr>
              <w:jc w:val="center"/>
              <w:rPr>
                <w:rFonts w:cs="Arial"/>
                <w:b/>
                <w:sz w:val="18"/>
                <w:szCs w:val="18"/>
              </w:rPr>
            </w:pPr>
            <w:r w:rsidRPr="00377268">
              <w:rPr>
                <w:rFonts w:cs="Arial"/>
                <w:b/>
                <w:sz w:val="18"/>
                <w:szCs w:val="18"/>
              </w:rPr>
              <w:lastRenderedPageBreak/>
              <w:t>Georgia’s Countercyclical Development Expenditure Program</w:t>
            </w:r>
          </w:p>
        </w:tc>
      </w:tr>
      <w:tr w:rsidR="0008785D" w:rsidRPr="00945566" w14:paraId="7B352361" w14:textId="77777777" w:rsidTr="0008785D">
        <w:trPr>
          <w:trHeight w:val="219"/>
          <w:tblHeader/>
        </w:trPr>
        <w:tc>
          <w:tcPr>
            <w:tcW w:w="1615" w:type="dxa"/>
            <w:vMerge w:val="restart"/>
            <w:shd w:val="clear" w:color="auto" w:fill="auto"/>
          </w:tcPr>
          <w:p w14:paraId="1F428A6D" w14:textId="77777777" w:rsidR="0008785D" w:rsidRPr="001F6567" w:rsidRDefault="0008785D" w:rsidP="0008785D">
            <w:pPr>
              <w:rPr>
                <w:rFonts w:cs="Arial"/>
                <w:b/>
                <w:sz w:val="18"/>
                <w:szCs w:val="18"/>
              </w:rPr>
            </w:pPr>
            <w:r w:rsidRPr="001F6567">
              <w:rPr>
                <w:rFonts w:cs="Arial"/>
                <w:b/>
                <w:sz w:val="18"/>
                <w:szCs w:val="18"/>
              </w:rPr>
              <w:t>Package</w:t>
            </w:r>
          </w:p>
        </w:tc>
        <w:tc>
          <w:tcPr>
            <w:tcW w:w="6226" w:type="dxa"/>
            <w:vMerge w:val="restart"/>
            <w:shd w:val="clear" w:color="auto" w:fill="auto"/>
          </w:tcPr>
          <w:p w14:paraId="56C54406" w14:textId="77777777" w:rsidR="0008785D" w:rsidRPr="00945566" w:rsidRDefault="0008785D" w:rsidP="0008785D">
            <w:pPr>
              <w:ind w:left="72" w:right="-36"/>
              <w:rPr>
                <w:rFonts w:cs="Arial"/>
                <w:b/>
                <w:sz w:val="18"/>
                <w:szCs w:val="18"/>
              </w:rPr>
            </w:pPr>
            <w:r w:rsidRPr="00377268">
              <w:rPr>
                <w:rFonts w:cs="Arial"/>
                <w:b/>
                <w:sz w:val="18"/>
                <w:szCs w:val="18"/>
              </w:rPr>
              <w:t>Measures</w:t>
            </w:r>
          </w:p>
        </w:tc>
        <w:tc>
          <w:tcPr>
            <w:tcW w:w="1519" w:type="dxa"/>
            <w:gridSpan w:val="2"/>
            <w:shd w:val="clear" w:color="auto" w:fill="auto"/>
          </w:tcPr>
          <w:p w14:paraId="68CF7E82" w14:textId="77777777" w:rsidR="0008785D" w:rsidRPr="00945566" w:rsidRDefault="0008785D" w:rsidP="0008785D">
            <w:pPr>
              <w:jc w:val="center"/>
              <w:rPr>
                <w:rFonts w:cs="Arial"/>
                <w:b/>
                <w:bCs/>
                <w:sz w:val="18"/>
                <w:szCs w:val="18"/>
              </w:rPr>
            </w:pPr>
            <w:r w:rsidRPr="00945566">
              <w:rPr>
                <w:rFonts w:cs="Arial"/>
                <w:b/>
                <w:bCs/>
                <w:sz w:val="18"/>
                <w:szCs w:val="18"/>
              </w:rPr>
              <w:t xml:space="preserve">Cost </w:t>
            </w:r>
          </w:p>
        </w:tc>
      </w:tr>
      <w:tr w:rsidR="0008785D" w:rsidRPr="00254B02" w14:paraId="6E57E22B" w14:textId="77777777" w:rsidTr="0008785D">
        <w:trPr>
          <w:trHeight w:val="264"/>
          <w:tblHeader/>
        </w:trPr>
        <w:tc>
          <w:tcPr>
            <w:tcW w:w="1615" w:type="dxa"/>
            <w:vMerge/>
            <w:shd w:val="clear" w:color="auto" w:fill="auto"/>
          </w:tcPr>
          <w:p w14:paraId="409B3E7E" w14:textId="77777777" w:rsidR="0008785D" w:rsidRPr="00377268" w:rsidRDefault="0008785D" w:rsidP="0008785D">
            <w:pPr>
              <w:rPr>
                <w:rFonts w:cs="Arial"/>
                <w:b/>
                <w:sz w:val="18"/>
                <w:szCs w:val="18"/>
                <w:u w:val="single"/>
              </w:rPr>
            </w:pPr>
          </w:p>
        </w:tc>
        <w:tc>
          <w:tcPr>
            <w:tcW w:w="6226" w:type="dxa"/>
            <w:vMerge/>
            <w:shd w:val="clear" w:color="auto" w:fill="auto"/>
          </w:tcPr>
          <w:p w14:paraId="1EB9442A" w14:textId="77777777" w:rsidR="0008785D" w:rsidRPr="00377268" w:rsidRDefault="0008785D" w:rsidP="0008785D">
            <w:pPr>
              <w:ind w:left="72" w:right="-36"/>
              <w:rPr>
                <w:rFonts w:cs="Arial"/>
                <w:b/>
                <w:sz w:val="18"/>
                <w:szCs w:val="18"/>
              </w:rPr>
            </w:pPr>
          </w:p>
        </w:tc>
        <w:tc>
          <w:tcPr>
            <w:tcW w:w="715" w:type="dxa"/>
            <w:shd w:val="clear" w:color="auto" w:fill="auto"/>
          </w:tcPr>
          <w:p w14:paraId="4478B14F" w14:textId="77777777" w:rsidR="0008785D" w:rsidRDefault="0008785D" w:rsidP="0008785D">
            <w:pPr>
              <w:jc w:val="center"/>
              <w:rPr>
                <w:rFonts w:cs="Arial"/>
                <w:b/>
                <w:bCs/>
                <w:sz w:val="18"/>
                <w:szCs w:val="18"/>
              </w:rPr>
            </w:pPr>
            <w:r w:rsidRPr="00945566">
              <w:rPr>
                <w:rFonts w:cs="Arial"/>
                <w:b/>
                <w:bCs/>
                <w:sz w:val="18"/>
                <w:szCs w:val="18"/>
              </w:rPr>
              <w:t>GEL</w:t>
            </w:r>
          </w:p>
          <w:p w14:paraId="65370A6D" w14:textId="77777777" w:rsidR="0008785D" w:rsidRPr="00254B02" w:rsidRDefault="0008785D" w:rsidP="0008785D">
            <w:pPr>
              <w:jc w:val="center"/>
              <w:rPr>
                <w:rFonts w:cs="Arial"/>
                <w:sz w:val="18"/>
                <w:szCs w:val="18"/>
              </w:rPr>
            </w:pPr>
            <w:r w:rsidRPr="00254B02">
              <w:rPr>
                <w:rFonts w:cs="Arial"/>
                <w:sz w:val="18"/>
                <w:szCs w:val="18"/>
              </w:rPr>
              <w:t>(mil)</w:t>
            </w:r>
          </w:p>
        </w:tc>
        <w:tc>
          <w:tcPr>
            <w:tcW w:w="804" w:type="dxa"/>
            <w:shd w:val="clear" w:color="auto" w:fill="auto"/>
          </w:tcPr>
          <w:p w14:paraId="0B97D290" w14:textId="77777777" w:rsidR="0008785D" w:rsidRDefault="0008785D" w:rsidP="0008785D">
            <w:pPr>
              <w:jc w:val="center"/>
              <w:rPr>
                <w:rFonts w:cs="Arial"/>
                <w:b/>
                <w:bCs/>
                <w:sz w:val="18"/>
                <w:szCs w:val="18"/>
              </w:rPr>
            </w:pPr>
            <w:r w:rsidRPr="00945566">
              <w:rPr>
                <w:rFonts w:cs="Arial"/>
                <w:b/>
                <w:bCs/>
                <w:sz w:val="18"/>
                <w:szCs w:val="18"/>
              </w:rPr>
              <w:t>USD</w:t>
            </w:r>
          </w:p>
          <w:p w14:paraId="5A75A56B" w14:textId="77777777" w:rsidR="0008785D" w:rsidRPr="00254B02" w:rsidRDefault="0008785D" w:rsidP="0008785D">
            <w:pPr>
              <w:jc w:val="center"/>
              <w:rPr>
                <w:rFonts w:cs="Arial"/>
                <w:sz w:val="18"/>
                <w:szCs w:val="18"/>
              </w:rPr>
            </w:pPr>
            <w:r w:rsidRPr="00254B02">
              <w:rPr>
                <w:rFonts w:cs="Arial"/>
                <w:sz w:val="18"/>
                <w:szCs w:val="18"/>
              </w:rPr>
              <w:t>(mil)</w:t>
            </w:r>
          </w:p>
        </w:tc>
      </w:tr>
      <w:tr w:rsidR="0008785D" w:rsidRPr="00377268" w14:paraId="6A5DDB26" w14:textId="77777777" w:rsidTr="0008785D">
        <w:trPr>
          <w:trHeight w:val="113"/>
        </w:trPr>
        <w:tc>
          <w:tcPr>
            <w:tcW w:w="1615" w:type="dxa"/>
            <w:shd w:val="clear" w:color="auto" w:fill="auto"/>
          </w:tcPr>
          <w:p w14:paraId="3C8C85D4" w14:textId="77777777" w:rsidR="0008785D" w:rsidRPr="00207ACB" w:rsidRDefault="0008785D" w:rsidP="0008785D">
            <w:pPr>
              <w:ind w:right="-18"/>
              <w:jc w:val="left"/>
              <w:rPr>
                <w:rFonts w:cs="Arial"/>
                <w:bCs/>
                <w:sz w:val="18"/>
                <w:szCs w:val="18"/>
              </w:rPr>
            </w:pPr>
            <w:r w:rsidRPr="00207ACB">
              <w:rPr>
                <w:rFonts w:cs="Arial"/>
                <w:bCs/>
                <w:sz w:val="18"/>
                <w:szCs w:val="18"/>
              </w:rPr>
              <w:t>Health Expenditure for COVID-19 Response</w:t>
            </w:r>
          </w:p>
          <w:p w14:paraId="75F6F9BE" w14:textId="77777777" w:rsidR="0008785D" w:rsidRPr="00377268" w:rsidRDefault="0008785D" w:rsidP="0008785D">
            <w:pPr>
              <w:jc w:val="left"/>
              <w:rPr>
                <w:rFonts w:cs="Arial"/>
                <w:sz w:val="18"/>
                <w:szCs w:val="18"/>
              </w:rPr>
            </w:pPr>
          </w:p>
        </w:tc>
        <w:tc>
          <w:tcPr>
            <w:tcW w:w="6226" w:type="dxa"/>
            <w:shd w:val="clear" w:color="auto" w:fill="auto"/>
          </w:tcPr>
          <w:p w14:paraId="1ED7E529" w14:textId="77777777" w:rsidR="0008785D" w:rsidRPr="00377268" w:rsidRDefault="0008785D" w:rsidP="0008785D">
            <w:pPr>
              <w:ind w:left="72" w:right="-36" w:hanging="141"/>
              <w:rPr>
                <w:rFonts w:cs="Arial"/>
                <w:sz w:val="18"/>
                <w:szCs w:val="18"/>
              </w:rPr>
            </w:pPr>
            <w:r w:rsidRPr="00377268">
              <w:rPr>
                <w:rFonts w:cs="Arial"/>
                <w:sz w:val="18"/>
                <w:szCs w:val="18"/>
              </w:rPr>
              <w:t>- Refurbishing and equipping facilities for primary triage and diagnosis, and treatment of COVID-19 patients</w:t>
            </w:r>
          </w:p>
          <w:p w14:paraId="5B7F288A" w14:textId="77777777" w:rsidR="0008785D" w:rsidRPr="00377268" w:rsidRDefault="0008785D" w:rsidP="0008785D">
            <w:pPr>
              <w:ind w:left="72" w:right="-36" w:hanging="141"/>
              <w:rPr>
                <w:rFonts w:cs="Arial"/>
                <w:sz w:val="18"/>
                <w:szCs w:val="18"/>
              </w:rPr>
            </w:pPr>
            <w:r w:rsidRPr="00377268">
              <w:rPr>
                <w:rFonts w:cs="Arial"/>
                <w:sz w:val="18"/>
                <w:szCs w:val="18"/>
              </w:rPr>
              <w:t>- Equipping laboratories for COVID-19 testing</w:t>
            </w:r>
          </w:p>
          <w:p w14:paraId="38431D63" w14:textId="77777777" w:rsidR="0008785D" w:rsidRPr="00377268" w:rsidRDefault="0008785D" w:rsidP="0008785D">
            <w:pPr>
              <w:ind w:left="72" w:right="-36" w:hanging="141"/>
              <w:rPr>
                <w:rFonts w:cs="Arial"/>
                <w:sz w:val="18"/>
                <w:szCs w:val="18"/>
              </w:rPr>
            </w:pPr>
            <w:r w:rsidRPr="00377268">
              <w:rPr>
                <w:rFonts w:cs="Arial"/>
                <w:sz w:val="18"/>
                <w:szCs w:val="18"/>
              </w:rPr>
              <w:t>- Tailored training of 2000 general practitioners</w:t>
            </w:r>
          </w:p>
          <w:p w14:paraId="01CB1DFC" w14:textId="77777777" w:rsidR="0008785D" w:rsidRDefault="0008785D" w:rsidP="0008785D">
            <w:pPr>
              <w:ind w:left="72" w:right="-36" w:hanging="141"/>
              <w:rPr>
                <w:rFonts w:cs="Arial"/>
                <w:sz w:val="18"/>
                <w:szCs w:val="18"/>
              </w:rPr>
            </w:pPr>
            <w:r w:rsidRPr="00377268">
              <w:rPr>
                <w:rFonts w:cs="Arial"/>
                <w:sz w:val="18"/>
                <w:szCs w:val="18"/>
              </w:rPr>
              <w:t>- Design and launch of a contact tracing application</w:t>
            </w:r>
          </w:p>
          <w:p w14:paraId="6849F6CE" w14:textId="77777777" w:rsidR="0008785D" w:rsidRPr="00377268" w:rsidRDefault="0008785D" w:rsidP="0008785D">
            <w:pPr>
              <w:ind w:left="72" w:right="-36" w:hanging="141"/>
              <w:rPr>
                <w:rFonts w:cs="Arial"/>
                <w:sz w:val="18"/>
                <w:szCs w:val="18"/>
              </w:rPr>
            </w:pPr>
            <w:r w:rsidRPr="00377268">
              <w:rPr>
                <w:rFonts w:cs="Arial"/>
                <w:sz w:val="18"/>
                <w:szCs w:val="18"/>
              </w:rPr>
              <w:t>- Procurement of COVID-19 related supplies including PPE, ICU equipment, emergency and ambulance service equipment, and testing</w:t>
            </w:r>
          </w:p>
        </w:tc>
        <w:tc>
          <w:tcPr>
            <w:tcW w:w="715" w:type="dxa"/>
            <w:shd w:val="clear" w:color="auto" w:fill="auto"/>
          </w:tcPr>
          <w:p w14:paraId="788E27C2" w14:textId="77777777" w:rsidR="0008785D" w:rsidRPr="00377268" w:rsidRDefault="0008785D" w:rsidP="0008785D">
            <w:pPr>
              <w:jc w:val="center"/>
              <w:rPr>
                <w:rFonts w:cs="Arial"/>
                <w:sz w:val="18"/>
                <w:szCs w:val="18"/>
              </w:rPr>
            </w:pPr>
            <w:r w:rsidRPr="00377268">
              <w:rPr>
                <w:rFonts w:cs="Arial"/>
                <w:sz w:val="18"/>
                <w:szCs w:val="18"/>
              </w:rPr>
              <w:t>350</w:t>
            </w:r>
          </w:p>
        </w:tc>
        <w:tc>
          <w:tcPr>
            <w:tcW w:w="804" w:type="dxa"/>
            <w:shd w:val="clear" w:color="auto" w:fill="auto"/>
          </w:tcPr>
          <w:p w14:paraId="0098360A" w14:textId="77777777" w:rsidR="0008785D" w:rsidRPr="00377268" w:rsidRDefault="0008785D" w:rsidP="0008785D">
            <w:pPr>
              <w:jc w:val="center"/>
              <w:rPr>
                <w:rFonts w:cs="Arial"/>
                <w:sz w:val="18"/>
                <w:szCs w:val="18"/>
              </w:rPr>
            </w:pPr>
            <w:r w:rsidRPr="00377268">
              <w:rPr>
                <w:rFonts w:cs="Arial"/>
                <w:sz w:val="18"/>
                <w:szCs w:val="18"/>
              </w:rPr>
              <w:t>111</w:t>
            </w:r>
          </w:p>
        </w:tc>
      </w:tr>
      <w:tr w:rsidR="0008785D" w:rsidRPr="00B91196" w14:paraId="67D44F46" w14:textId="77777777" w:rsidTr="0008785D">
        <w:trPr>
          <w:trHeight w:val="113"/>
        </w:trPr>
        <w:tc>
          <w:tcPr>
            <w:tcW w:w="7841" w:type="dxa"/>
            <w:gridSpan w:val="2"/>
            <w:shd w:val="clear" w:color="auto" w:fill="auto"/>
            <w:vAlign w:val="center"/>
          </w:tcPr>
          <w:p w14:paraId="2DAD1F84" w14:textId="77777777" w:rsidR="0008785D" w:rsidRPr="00377268" w:rsidRDefault="0008785D" w:rsidP="0008785D">
            <w:pPr>
              <w:jc w:val="left"/>
              <w:rPr>
                <w:rFonts w:cs="Arial"/>
                <w:b/>
                <w:sz w:val="18"/>
                <w:szCs w:val="18"/>
              </w:rPr>
            </w:pPr>
            <w:r w:rsidRPr="00377268">
              <w:rPr>
                <w:rFonts w:cs="Arial"/>
                <w:b/>
                <w:sz w:val="18"/>
                <w:szCs w:val="18"/>
              </w:rPr>
              <w:t>Subtotal</w:t>
            </w:r>
          </w:p>
        </w:tc>
        <w:tc>
          <w:tcPr>
            <w:tcW w:w="715" w:type="dxa"/>
            <w:shd w:val="clear" w:color="auto" w:fill="auto"/>
          </w:tcPr>
          <w:p w14:paraId="659EE0AB" w14:textId="77777777" w:rsidR="0008785D" w:rsidRPr="00B91196" w:rsidRDefault="0008785D" w:rsidP="0008785D">
            <w:pPr>
              <w:jc w:val="center"/>
              <w:rPr>
                <w:rFonts w:cs="Arial"/>
                <w:b/>
                <w:bCs/>
                <w:sz w:val="18"/>
                <w:szCs w:val="18"/>
              </w:rPr>
            </w:pPr>
            <w:r w:rsidRPr="00B91196">
              <w:rPr>
                <w:rFonts w:cs="Arial"/>
                <w:b/>
                <w:bCs/>
                <w:sz w:val="18"/>
                <w:szCs w:val="18"/>
              </w:rPr>
              <w:t>350</w:t>
            </w:r>
          </w:p>
        </w:tc>
        <w:tc>
          <w:tcPr>
            <w:tcW w:w="804" w:type="dxa"/>
            <w:shd w:val="clear" w:color="auto" w:fill="auto"/>
          </w:tcPr>
          <w:p w14:paraId="1B1DF889" w14:textId="77777777" w:rsidR="0008785D" w:rsidRPr="00B91196" w:rsidRDefault="0008785D" w:rsidP="0008785D">
            <w:pPr>
              <w:jc w:val="center"/>
              <w:rPr>
                <w:rFonts w:cs="Arial"/>
                <w:b/>
                <w:bCs/>
                <w:sz w:val="18"/>
                <w:szCs w:val="18"/>
              </w:rPr>
            </w:pPr>
            <w:r w:rsidRPr="00B91196">
              <w:rPr>
                <w:rFonts w:cs="Arial"/>
                <w:b/>
                <w:bCs/>
                <w:sz w:val="18"/>
                <w:szCs w:val="18"/>
              </w:rPr>
              <w:t>111</w:t>
            </w:r>
          </w:p>
        </w:tc>
      </w:tr>
      <w:tr w:rsidR="0008785D" w:rsidRPr="00377268" w14:paraId="6790B3E6" w14:textId="77777777" w:rsidTr="0008785D">
        <w:trPr>
          <w:trHeight w:val="2898"/>
        </w:trPr>
        <w:tc>
          <w:tcPr>
            <w:tcW w:w="1615" w:type="dxa"/>
            <w:shd w:val="clear" w:color="auto" w:fill="auto"/>
          </w:tcPr>
          <w:p w14:paraId="56F21069" w14:textId="77777777" w:rsidR="0008785D" w:rsidRPr="00207ACB" w:rsidRDefault="0008785D" w:rsidP="0008785D">
            <w:pPr>
              <w:jc w:val="left"/>
              <w:rPr>
                <w:rFonts w:cs="Arial"/>
                <w:bCs/>
                <w:sz w:val="18"/>
                <w:szCs w:val="18"/>
              </w:rPr>
            </w:pPr>
            <w:r w:rsidRPr="00207ACB">
              <w:rPr>
                <w:rFonts w:cs="Arial"/>
                <w:bCs/>
                <w:sz w:val="18"/>
                <w:szCs w:val="18"/>
              </w:rPr>
              <w:t>Private Sector Support Package</w:t>
            </w:r>
          </w:p>
          <w:p w14:paraId="1F6C8023" w14:textId="77777777" w:rsidR="0008785D" w:rsidRPr="00207ACB" w:rsidRDefault="0008785D" w:rsidP="0008785D">
            <w:pPr>
              <w:jc w:val="left"/>
              <w:rPr>
                <w:rFonts w:cs="Arial"/>
                <w:bCs/>
                <w:sz w:val="18"/>
                <w:szCs w:val="18"/>
              </w:rPr>
            </w:pPr>
          </w:p>
        </w:tc>
        <w:tc>
          <w:tcPr>
            <w:tcW w:w="6226" w:type="dxa"/>
            <w:shd w:val="clear" w:color="auto" w:fill="auto"/>
          </w:tcPr>
          <w:p w14:paraId="207C7916" w14:textId="77777777" w:rsidR="0008785D" w:rsidRPr="00377268" w:rsidRDefault="0008785D" w:rsidP="0008785D">
            <w:pPr>
              <w:ind w:left="72" w:right="-36" w:hanging="140"/>
              <w:rPr>
                <w:rFonts w:cs="Arial"/>
                <w:sz w:val="18"/>
                <w:szCs w:val="18"/>
              </w:rPr>
            </w:pPr>
            <w:r w:rsidRPr="00377268">
              <w:rPr>
                <w:rFonts w:cs="Arial"/>
                <w:sz w:val="18"/>
                <w:szCs w:val="18"/>
              </w:rPr>
              <w:t>-</w:t>
            </w:r>
            <w:r w:rsidRPr="00377268">
              <w:rPr>
                <w:rFonts w:cs="Arial"/>
                <w:sz w:val="18"/>
                <w:szCs w:val="18"/>
              </w:rPr>
              <w:tab/>
              <w:t>Doubling of VAT surplus refunds to GEL1,200 million</w:t>
            </w:r>
          </w:p>
          <w:p w14:paraId="623E0793" w14:textId="77777777" w:rsidR="0008785D" w:rsidRPr="00377268" w:rsidRDefault="0008785D" w:rsidP="0008785D">
            <w:pPr>
              <w:ind w:left="72" w:right="-36" w:hanging="140"/>
              <w:rPr>
                <w:rFonts w:cs="Arial"/>
                <w:sz w:val="18"/>
                <w:szCs w:val="18"/>
              </w:rPr>
            </w:pPr>
            <w:r w:rsidRPr="00377268">
              <w:rPr>
                <w:rFonts w:cs="Arial"/>
                <w:sz w:val="18"/>
                <w:szCs w:val="18"/>
              </w:rPr>
              <w:t>-</w:t>
            </w:r>
            <w:r w:rsidRPr="00377268">
              <w:rPr>
                <w:rFonts w:cs="Arial"/>
                <w:sz w:val="18"/>
                <w:szCs w:val="18"/>
              </w:rPr>
              <w:tab/>
              <w:t>Additional funds for the Credit Guarantee Fund to support SMEs</w:t>
            </w:r>
          </w:p>
          <w:p w14:paraId="00B5704B" w14:textId="77777777" w:rsidR="0008785D" w:rsidRPr="00377268" w:rsidRDefault="0008785D" w:rsidP="0008785D">
            <w:pPr>
              <w:ind w:left="72" w:right="-36" w:hanging="140"/>
              <w:rPr>
                <w:rFonts w:cs="Arial"/>
                <w:sz w:val="18"/>
                <w:szCs w:val="18"/>
              </w:rPr>
            </w:pPr>
            <w:r w:rsidRPr="00377268">
              <w:rPr>
                <w:rFonts w:cs="Arial"/>
                <w:sz w:val="18"/>
                <w:szCs w:val="18"/>
              </w:rPr>
              <w:t xml:space="preserve">- Relaxation on use of countercyclical buffers by commercial banks </w:t>
            </w:r>
          </w:p>
          <w:p w14:paraId="4BA19136" w14:textId="77777777" w:rsidR="0008785D" w:rsidRPr="00377268" w:rsidRDefault="0008785D" w:rsidP="0008785D">
            <w:pPr>
              <w:ind w:left="72" w:right="-36" w:hanging="140"/>
              <w:rPr>
                <w:rFonts w:cs="Arial"/>
                <w:sz w:val="18"/>
                <w:szCs w:val="18"/>
              </w:rPr>
            </w:pPr>
            <w:r w:rsidRPr="00377268">
              <w:rPr>
                <w:rFonts w:cs="Arial"/>
                <w:sz w:val="18"/>
                <w:szCs w:val="18"/>
              </w:rPr>
              <w:t xml:space="preserve">- “Produce in Georgia” Program of soft loans, leasing and </w:t>
            </w:r>
            <w:proofErr w:type="spellStart"/>
            <w:r w:rsidRPr="00377268">
              <w:rPr>
                <w:rFonts w:cs="Arial"/>
                <w:sz w:val="18"/>
                <w:szCs w:val="18"/>
              </w:rPr>
              <w:t>cofinancing</w:t>
            </w:r>
            <w:proofErr w:type="spellEnd"/>
          </w:p>
          <w:p w14:paraId="104CA5A7" w14:textId="77777777" w:rsidR="0008785D" w:rsidRDefault="0008785D" w:rsidP="0008785D">
            <w:pPr>
              <w:ind w:left="72"/>
              <w:rPr>
                <w:rFonts w:cs="Arial"/>
                <w:sz w:val="18"/>
                <w:szCs w:val="18"/>
              </w:rPr>
            </w:pPr>
            <w:r w:rsidRPr="00377268">
              <w:rPr>
                <w:rFonts w:cs="Arial"/>
                <w:sz w:val="18"/>
                <w:szCs w:val="18"/>
              </w:rPr>
              <w:t>Grants for SMEs in agriculture and regional development</w:t>
            </w:r>
            <w:r>
              <w:rPr>
                <w:rFonts w:cs="Arial"/>
                <w:sz w:val="18"/>
                <w:szCs w:val="18"/>
              </w:rPr>
              <w:t>. 5,000 estimated beneficiaries.</w:t>
            </w:r>
          </w:p>
          <w:p w14:paraId="677BBF39" w14:textId="77777777" w:rsidR="0008785D" w:rsidRPr="00377268" w:rsidRDefault="0008785D" w:rsidP="0008785D">
            <w:pPr>
              <w:ind w:left="72" w:right="-36" w:hanging="140"/>
              <w:rPr>
                <w:rFonts w:cs="Arial"/>
                <w:sz w:val="18"/>
                <w:szCs w:val="18"/>
              </w:rPr>
            </w:pPr>
            <w:r w:rsidRPr="00377268">
              <w:rPr>
                <w:rFonts w:cs="Arial"/>
                <w:sz w:val="18"/>
                <w:szCs w:val="18"/>
              </w:rPr>
              <w:t xml:space="preserve">- </w:t>
            </w:r>
            <w:r>
              <w:rPr>
                <w:rFonts w:cs="Arial"/>
                <w:sz w:val="18"/>
                <w:szCs w:val="18"/>
              </w:rPr>
              <w:t xml:space="preserve"> </w:t>
            </w:r>
            <w:r w:rsidRPr="00377268">
              <w:rPr>
                <w:rFonts w:cs="Arial"/>
                <w:sz w:val="18"/>
                <w:szCs w:val="18"/>
              </w:rPr>
              <w:t>Property and income taxes to be deferred until 1 November 2020 for tourism companies</w:t>
            </w:r>
            <w:r>
              <w:rPr>
                <w:rFonts w:cs="Arial"/>
                <w:sz w:val="18"/>
                <w:szCs w:val="18"/>
              </w:rPr>
              <w:t>, benefiting 4,500 businesses.</w:t>
            </w:r>
          </w:p>
          <w:p w14:paraId="1163D975" w14:textId="77777777" w:rsidR="0008785D" w:rsidRDefault="0008785D" w:rsidP="0008785D">
            <w:pPr>
              <w:ind w:left="72" w:right="-36" w:hanging="140"/>
              <w:rPr>
                <w:rFonts w:cs="Arial"/>
                <w:sz w:val="18"/>
                <w:szCs w:val="18"/>
              </w:rPr>
            </w:pPr>
            <w:r w:rsidRPr="00377268">
              <w:rPr>
                <w:rFonts w:cs="Arial"/>
                <w:sz w:val="18"/>
                <w:szCs w:val="18"/>
              </w:rPr>
              <w:t>-</w:t>
            </w:r>
            <w:r w:rsidRPr="00377268">
              <w:rPr>
                <w:rFonts w:cs="Arial"/>
                <w:sz w:val="18"/>
                <w:szCs w:val="18"/>
              </w:rPr>
              <w:tab/>
              <w:t>Subsidized 80% of interest payments for 6 months for hotels with less than 50 rooms</w:t>
            </w:r>
            <w:r>
              <w:rPr>
                <w:rFonts w:cs="Arial"/>
                <w:sz w:val="18"/>
                <w:szCs w:val="18"/>
              </w:rPr>
              <w:t>. Will benefit 850 hotels.</w:t>
            </w:r>
          </w:p>
          <w:p w14:paraId="3E9A189F" w14:textId="77777777" w:rsidR="0008785D" w:rsidRPr="00377268" w:rsidRDefault="0008785D" w:rsidP="0008785D">
            <w:pPr>
              <w:ind w:left="72" w:right="-36" w:hanging="140"/>
              <w:rPr>
                <w:rFonts w:cs="Arial"/>
                <w:sz w:val="18"/>
                <w:szCs w:val="18"/>
              </w:rPr>
            </w:pPr>
            <w:r w:rsidRPr="00377268">
              <w:rPr>
                <w:rFonts w:cs="Arial"/>
                <w:sz w:val="18"/>
                <w:szCs w:val="18"/>
              </w:rPr>
              <w:t>- Deferral of 90-day period of car customs clearance for vehicle importers deferred until 1 September 2020</w:t>
            </w:r>
            <w:r>
              <w:rPr>
                <w:rFonts w:cs="Arial"/>
                <w:sz w:val="18"/>
                <w:szCs w:val="18"/>
              </w:rPr>
              <w:t>. Will benefit 38,000 importers.</w:t>
            </w:r>
          </w:p>
          <w:p w14:paraId="38AF71AA" w14:textId="77777777" w:rsidR="0008785D" w:rsidRPr="00377268" w:rsidRDefault="0008785D" w:rsidP="0008785D">
            <w:pPr>
              <w:ind w:left="72" w:right="-36" w:hanging="140"/>
              <w:rPr>
                <w:rFonts w:cs="Arial"/>
                <w:sz w:val="18"/>
                <w:szCs w:val="18"/>
              </w:rPr>
            </w:pPr>
            <w:r w:rsidRPr="00377268">
              <w:rPr>
                <w:rFonts w:cs="Arial"/>
                <w:sz w:val="18"/>
                <w:szCs w:val="18"/>
              </w:rPr>
              <w:t>- State insurance of construction materials for all infrastructure projects against price increases</w:t>
            </w:r>
          </w:p>
        </w:tc>
        <w:tc>
          <w:tcPr>
            <w:tcW w:w="715" w:type="dxa"/>
            <w:shd w:val="clear" w:color="auto" w:fill="auto"/>
          </w:tcPr>
          <w:p w14:paraId="3DA861CC" w14:textId="77777777" w:rsidR="0008785D" w:rsidRPr="00377268" w:rsidRDefault="0008785D" w:rsidP="0008785D">
            <w:pPr>
              <w:jc w:val="center"/>
              <w:rPr>
                <w:rFonts w:cs="Arial"/>
                <w:sz w:val="18"/>
                <w:szCs w:val="18"/>
              </w:rPr>
            </w:pPr>
            <w:r w:rsidRPr="00377268">
              <w:rPr>
                <w:rFonts w:cs="Arial"/>
                <w:sz w:val="18"/>
                <w:szCs w:val="18"/>
              </w:rPr>
              <w:t>600</w:t>
            </w:r>
          </w:p>
          <w:p w14:paraId="7FBC9D2E" w14:textId="77777777" w:rsidR="0008785D" w:rsidRPr="00377268" w:rsidRDefault="0008785D" w:rsidP="0008785D">
            <w:pPr>
              <w:jc w:val="center"/>
              <w:rPr>
                <w:rFonts w:cs="Arial"/>
                <w:sz w:val="18"/>
                <w:szCs w:val="18"/>
              </w:rPr>
            </w:pPr>
            <w:r w:rsidRPr="00377268">
              <w:rPr>
                <w:rFonts w:cs="Arial"/>
                <w:sz w:val="18"/>
                <w:szCs w:val="18"/>
              </w:rPr>
              <w:t>500</w:t>
            </w:r>
          </w:p>
          <w:p w14:paraId="01E6F842" w14:textId="77777777" w:rsidR="0008785D" w:rsidRPr="00377268" w:rsidRDefault="0008785D" w:rsidP="0008785D">
            <w:pPr>
              <w:jc w:val="center"/>
              <w:rPr>
                <w:rFonts w:cs="Arial"/>
                <w:sz w:val="18"/>
                <w:szCs w:val="18"/>
              </w:rPr>
            </w:pPr>
            <w:r w:rsidRPr="00377268">
              <w:rPr>
                <w:rFonts w:cs="Arial"/>
                <w:sz w:val="18"/>
                <w:szCs w:val="18"/>
              </w:rPr>
              <w:t>600</w:t>
            </w:r>
          </w:p>
          <w:p w14:paraId="14CEA9E9" w14:textId="77777777" w:rsidR="0008785D" w:rsidRPr="00377268" w:rsidRDefault="0008785D" w:rsidP="0008785D">
            <w:pPr>
              <w:jc w:val="center"/>
              <w:rPr>
                <w:rFonts w:cs="Arial"/>
                <w:sz w:val="18"/>
                <w:szCs w:val="18"/>
              </w:rPr>
            </w:pPr>
            <w:r w:rsidRPr="00377268">
              <w:rPr>
                <w:rFonts w:cs="Arial"/>
                <w:sz w:val="18"/>
                <w:szCs w:val="18"/>
              </w:rPr>
              <w:t>10</w:t>
            </w:r>
          </w:p>
          <w:p w14:paraId="57591062" w14:textId="77777777" w:rsidR="0008785D" w:rsidRPr="00377268" w:rsidRDefault="0008785D" w:rsidP="0008785D">
            <w:pPr>
              <w:jc w:val="center"/>
              <w:rPr>
                <w:rFonts w:cs="Arial"/>
                <w:sz w:val="18"/>
                <w:szCs w:val="18"/>
              </w:rPr>
            </w:pPr>
            <w:r w:rsidRPr="00377268">
              <w:rPr>
                <w:rFonts w:cs="Arial"/>
                <w:sz w:val="18"/>
                <w:szCs w:val="18"/>
              </w:rPr>
              <w:t>50</w:t>
            </w:r>
          </w:p>
          <w:p w14:paraId="0ED66E0D" w14:textId="77777777" w:rsidR="0008785D" w:rsidRDefault="0008785D" w:rsidP="0008785D">
            <w:pPr>
              <w:jc w:val="center"/>
              <w:rPr>
                <w:rFonts w:cs="Arial"/>
                <w:sz w:val="18"/>
                <w:szCs w:val="18"/>
              </w:rPr>
            </w:pPr>
          </w:p>
          <w:p w14:paraId="53489228" w14:textId="77777777" w:rsidR="0008785D" w:rsidRPr="00377268" w:rsidRDefault="0008785D" w:rsidP="0008785D">
            <w:pPr>
              <w:jc w:val="center"/>
              <w:rPr>
                <w:rFonts w:cs="Arial"/>
                <w:sz w:val="18"/>
                <w:szCs w:val="18"/>
              </w:rPr>
            </w:pPr>
            <w:r w:rsidRPr="00377268">
              <w:rPr>
                <w:rFonts w:cs="Arial"/>
                <w:sz w:val="18"/>
                <w:szCs w:val="18"/>
              </w:rPr>
              <w:t>90</w:t>
            </w:r>
          </w:p>
          <w:p w14:paraId="221BF388" w14:textId="77777777" w:rsidR="0008785D" w:rsidRDefault="0008785D" w:rsidP="0008785D">
            <w:pPr>
              <w:jc w:val="center"/>
              <w:rPr>
                <w:rFonts w:cs="Arial"/>
                <w:sz w:val="18"/>
                <w:szCs w:val="18"/>
              </w:rPr>
            </w:pPr>
          </w:p>
          <w:p w14:paraId="255A6A92" w14:textId="77777777" w:rsidR="0008785D" w:rsidRPr="00377268" w:rsidRDefault="0008785D" w:rsidP="0008785D">
            <w:pPr>
              <w:jc w:val="center"/>
              <w:rPr>
                <w:rFonts w:cs="Arial"/>
                <w:sz w:val="18"/>
                <w:szCs w:val="18"/>
              </w:rPr>
            </w:pPr>
            <w:r w:rsidRPr="00377268">
              <w:rPr>
                <w:rFonts w:cs="Arial"/>
                <w:sz w:val="18"/>
                <w:szCs w:val="18"/>
              </w:rPr>
              <w:t>10</w:t>
            </w:r>
          </w:p>
          <w:p w14:paraId="18B7256E" w14:textId="77777777" w:rsidR="0008785D" w:rsidRDefault="0008785D" w:rsidP="0008785D">
            <w:pPr>
              <w:jc w:val="center"/>
              <w:rPr>
                <w:rFonts w:cs="Arial"/>
                <w:sz w:val="18"/>
                <w:szCs w:val="18"/>
              </w:rPr>
            </w:pPr>
          </w:p>
          <w:p w14:paraId="45239DE4" w14:textId="77777777" w:rsidR="0008785D" w:rsidRPr="00377268" w:rsidRDefault="0008785D" w:rsidP="0008785D">
            <w:pPr>
              <w:jc w:val="center"/>
              <w:rPr>
                <w:rFonts w:cs="Arial"/>
                <w:sz w:val="18"/>
                <w:szCs w:val="18"/>
              </w:rPr>
            </w:pPr>
            <w:r w:rsidRPr="00377268">
              <w:rPr>
                <w:rFonts w:cs="Arial"/>
                <w:sz w:val="18"/>
                <w:szCs w:val="18"/>
              </w:rPr>
              <w:t>50</w:t>
            </w:r>
          </w:p>
          <w:p w14:paraId="026CFEC3" w14:textId="77777777" w:rsidR="0008785D" w:rsidRDefault="0008785D" w:rsidP="0008785D">
            <w:pPr>
              <w:jc w:val="center"/>
              <w:rPr>
                <w:rFonts w:cs="Arial"/>
                <w:sz w:val="18"/>
                <w:szCs w:val="18"/>
              </w:rPr>
            </w:pPr>
          </w:p>
          <w:p w14:paraId="2A762488" w14:textId="77777777" w:rsidR="0008785D" w:rsidRPr="00377268" w:rsidRDefault="0008785D" w:rsidP="0008785D">
            <w:pPr>
              <w:jc w:val="center"/>
              <w:rPr>
                <w:rFonts w:cs="Arial"/>
                <w:sz w:val="18"/>
                <w:szCs w:val="18"/>
              </w:rPr>
            </w:pPr>
            <w:r w:rsidRPr="00377268">
              <w:rPr>
                <w:rFonts w:cs="Arial"/>
                <w:sz w:val="18"/>
                <w:szCs w:val="18"/>
              </w:rPr>
              <w:t>200</w:t>
            </w:r>
          </w:p>
        </w:tc>
        <w:tc>
          <w:tcPr>
            <w:tcW w:w="804" w:type="dxa"/>
            <w:shd w:val="clear" w:color="auto" w:fill="auto"/>
          </w:tcPr>
          <w:p w14:paraId="116436E6" w14:textId="77777777" w:rsidR="0008785D" w:rsidRPr="00377268" w:rsidRDefault="0008785D" w:rsidP="0008785D">
            <w:pPr>
              <w:jc w:val="center"/>
              <w:rPr>
                <w:rFonts w:cs="Arial"/>
                <w:sz w:val="18"/>
                <w:szCs w:val="18"/>
              </w:rPr>
            </w:pPr>
            <w:r w:rsidRPr="00377268">
              <w:rPr>
                <w:rFonts w:cs="Arial"/>
                <w:sz w:val="18"/>
                <w:szCs w:val="18"/>
              </w:rPr>
              <w:t>191</w:t>
            </w:r>
          </w:p>
          <w:p w14:paraId="4C9AD698" w14:textId="77777777" w:rsidR="0008785D" w:rsidRPr="00377268" w:rsidRDefault="0008785D" w:rsidP="0008785D">
            <w:pPr>
              <w:jc w:val="center"/>
              <w:rPr>
                <w:rFonts w:cs="Arial"/>
                <w:sz w:val="18"/>
                <w:szCs w:val="18"/>
              </w:rPr>
            </w:pPr>
            <w:r w:rsidRPr="00377268">
              <w:rPr>
                <w:rFonts w:cs="Arial"/>
                <w:sz w:val="18"/>
                <w:szCs w:val="18"/>
              </w:rPr>
              <w:t>159</w:t>
            </w:r>
          </w:p>
          <w:p w14:paraId="6B27522B" w14:textId="77777777" w:rsidR="0008785D" w:rsidRPr="00377268" w:rsidRDefault="0008785D" w:rsidP="0008785D">
            <w:pPr>
              <w:jc w:val="center"/>
              <w:rPr>
                <w:rFonts w:cs="Arial"/>
                <w:sz w:val="18"/>
                <w:szCs w:val="18"/>
              </w:rPr>
            </w:pPr>
            <w:r w:rsidRPr="00377268">
              <w:rPr>
                <w:rFonts w:cs="Arial"/>
                <w:sz w:val="18"/>
                <w:szCs w:val="18"/>
              </w:rPr>
              <w:t>191</w:t>
            </w:r>
          </w:p>
          <w:p w14:paraId="5E882A5D" w14:textId="77777777" w:rsidR="0008785D" w:rsidRPr="00377268" w:rsidRDefault="0008785D" w:rsidP="0008785D">
            <w:pPr>
              <w:jc w:val="center"/>
              <w:rPr>
                <w:rFonts w:cs="Arial"/>
                <w:sz w:val="18"/>
                <w:szCs w:val="18"/>
              </w:rPr>
            </w:pPr>
            <w:r w:rsidRPr="00377268">
              <w:rPr>
                <w:rFonts w:cs="Arial"/>
                <w:sz w:val="18"/>
                <w:szCs w:val="18"/>
              </w:rPr>
              <w:t>3</w:t>
            </w:r>
          </w:p>
          <w:p w14:paraId="28CE1D9C" w14:textId="77777777" w:rsidR="0008785D" w:rsidRPr="00377268" w:rsidRDefault="0008785D" w:rsidP="0008785D">
            <w:pPr>
              <w:jc w:val="center"/>
              <w:rPr>
                <w:rFonts w:cs="Arial"/>
                <w:sz w:val="18"/>
                <w:szCs w:val="18"/>
              </w:rPr>
            </w:pPr>
            <w:r w:rsidRPr="00377268">
              <w:rPr>
                <w:rFonts w:cs="Arial"/>
                <w:sz w:val="18"/>
                <w:szCs w:val="18"/>
              </w:rPr>
              <w:t>16</w:t>
            </w:r>
          </w:p>
          <w:p w14:paraId="0652ABC3" w14:textId="77777777" w:rsidR="0008785D" w:rsidRDefault="0008785D" w:rsidP="0008785D">
            <w:pPr>
              <w:jc w:val="center"/>
              <w:rPr>
                <w:rFonts w:cs="Arial"/>
                <w:sz w:val="18"/>
                <w:szCs w:val="18"/>
              </w:rPr>
            </w:pPr>
          </w:p>
          <w:p w14:paraId="2C941342" w14:textId="77777777" w:rsidR="0008785D" w:rsidRPr="00377268" w:rsidRDefault="0008785D" w:rsidP="0008785D">
            <w:pPr>
              <w:jc w:val="center"/>
              <w:rPr>
                <w:rFonts w:cs="Arial"/>
                <w:sz w:val="18"/>
                <w:szCs w:val="18"/>
              </w:rPr>
            </w:pPr>
            <w:r w:rsidRPr="00377268">
              <w:rPr>
                <w:rFonts w:cs="Arial"/>
                <w:sz w:val="18"/>
                <w:szCs w:val="18"/>
              </w:rPr>
              <w:t>29</w:t>
            </w:r>
          </w:p>
          <w:p w14:paraId="47B3A664" w14:textId="77777777" w:rsidR="0008785D" w:rsidRPr="00377268" w:rsidRDefault="0008785D" w:rsidP="0008785D">
            <w:pPr>
              <w:jc w:val="center"/>
              <w:rPr>
                <w:rFonts w:cs="Arial"/>
                <w:sz w:val="18"/>
                <w:szCs w:val="18"/>
              </w:rPr>
            </w:pPr>
          </w:p>
          <w:p w14:paraId="520314E2" w14:textId="77777777" w:rsidR="0008785D" w:rsidRPr="00377268" w:rsidRDefault="0008785D" w:rsidP="0008785D">
            <w:pPr>
              <w:jc w:val="center"/>
              <w:rPr>
                <w:rFonts w:cs="Arial"/>
                <w:sz w:val="18"/>
                <w:szCs w:val="18"/>
              </w:rPr>
            </w:pPr>
            <w:r w:rsidRPr="00377268">
              <w:rPr>
                <w:rFonts w:cs="Arial"/>
                <w:sz w:val="18"/>
                <w:szCs w:val="18"/>
              </w:rPr>
              <w:t>3</w:t>
            </w:r>
          </w:p>
          <w:p w14:paraId="5B44F1AD" w14:textId="77777777" w:rsidR="0008785D" w:rsidRDefault="0008785D" w:rsidP="0008785D">
            <w:pPr>
              <w:jc w:val="center"/>
              <w:rPr>
                <w:rFonts w:cs="Arial"/>
                <w:sz w:val="18"/>
                <w:szCs w:val="18"/>
              </w:rPr>
            </w:pPr>
          </w:p>
          <w:p w14:paraId="7EF84FF0" w14:textId="77777777" w:rsidR="0008785D" w:rsidRPr="00377268" w:rsidRDefault="0008785D" w:rsidP="0008785D">
            <w:pPr>
              <w:jc w:val="center"/>
              <w:rPr>
                <w:rFonts w:cs="Arial"/>
                <w:sz w:val="18"/>
                <w:szCs w:val="18"/>
              </w:rPr>
            </w:pPr>
            <w:r w:rsidRPr="00377268">
              <w:rPr>
                <w:rFonts w:cs="Arial"/>
                <w:sz w:val="18"/>
                <w:szCs w:val="18"/>
              </w:rPr>
              <w:t>16</w:t>
            </w:r>
          </w:p>
          <w:p w14:paraId="171F9F14" w14:textId="77777777" w:rsidR="0008785D" w:rsidRDefault="0008785D" w:rsidP="0008785D">
            <w:pPr>
              <w:jc w:val="center"/>
              <w:rPr>
                <w:rFonts w:cs="Arial"/>
                <w:sz w:val="18"/>
                <w:szCs w:val="18"/>
              </w:rPr>
            </w:pPr>
          </w:p>
          <w:p w14:paraId="33268387" w14:textId="77777777" w:rsidR="0008785D" w:rsidRPr="00377268" w:rsidRDefault="0008785D" w:rsidP="0008785D">
            <w:pPr>
              <w:jc w:val="center"/>
              <w:rPr>
                <w:rFonts w:cs="Arial"/>
                <w:sz w:val="18"/>
                <w:szCs w:val="18"/>
              </w:rPr>
            </w:pPr>
            <w:r w:rsidRPr="00377268">
              <w:rPr>
                <w:rFonts w:cs="Arial"/>
                <w:sz w:val="18"/>
                <w:szCs w:val="18"/>
              </w:rPr>
              <w:t>64</w:t>
            </w:r>
          </w:p>
        </w:tc>
      </w:tr>
      <w:tr w:rsidR="0008785D" w:rsidRPr="00377268" w14:paraId="451294B0" w14:textId="77777777" w:rsidTr="0008785D">
        <w:trPr>
          <w:trHeight w:val="256"/>
        </w:trPr>
        <w:tc>
          <w:tcPr>
            <w:tcW w:w="7841" w:type="dxa"/>
            <w:gridSpan w:val="2"/>
            <w:shd w:val="clear" w:color="auto" w:fill="auto"/>
            <w:vAlign w:val="center"/>
          </w:tcPr>
          <w:p w14:paraId="355260F0" w14:textId="77777777" w:rsidR="0008785D" w:rsidRPr="00377268" w:rsidRDefault="0008785D" w:rsidP="0008785D">
            <w:pPr>
              <w:jc w:val="left"/>
              <w:rPr>
                <w:rFonts w:cs="Arial"/>
                <w:b/>
                <w:sz w:val="18"/>
                <w:szCs w:val="18"/>
              </w:rPr>
            </w:pPr>
            <w:r w:rsidRPr="00377268">
              <w:rPr>
                <w:rFonts w:cs="Arial"/>
                <w:b/>
                <w:sz w:val="18"/>
                <w:szCs w:val="18"/>
              </w:rPr>
              <w:t>Subtotal</w:t>
            </w:r>
          </w:p>
        </w:tc>
        <w:tc>
          <w:tcPr>
            <w:tcW w:w="715" w:type="dxa"/>
            <w:shd w:val="clear" w:color="auto" w:fill="auto"/>
          </w:tcPr>
          <w:p w14:paraId="345D9D9F" w14:textId="77777777" w:rsidR="0008785D" w:rsidRPr="00377268" w:rsidRDefault="0008785D" w:rsidP="0008785D">
            <w:pPr>
              <w:jc w:val="center"/>
              <w:rPr>
                <w:rFonts w:cs="Arial"/>
                <w:b/>
                <w:sz w:val="18"/>
                <w:szCs w:val="18"/>
              </w:rPr>
            </w:pPr>
            <w:r w:rsidRPr="00377268">
              <w:rPr>
                <w:rFonts w:cs="Arial"/>
                <w:b/>
                <w:sz w:val="18"/>
                <w:szCs w:val="18"/>
              </w:rPr>
              <w:t>2,110</w:t>
            </w:r>
          </w:p>
        </w:tc>
        <w:tc>
          <w:tcPr>
            <w:tcW w:w="804" w:type="dxa"/>
            <w:shd w:val="clear" w:color="auto" w:fill="auto"/>
          </w:tcPr>
          <w:p w14:paraId="0674ACB7" w14:textId="77777777" w:rsidR="0008785D" w:rsidRPr="00377268" w:rsidRDefault="0008785D" w:rsidP="0008785D">
            <w:pPr>
              <w:jc w:val="center"/>
              <w:rPr>
                <w:rFonts w:cs="Arial"/>
                <w:b/>
                <w:sz w:val="18"/>
                <w:szCs w:val="18"/>
              </w:rPr>
            </w:pPr>
            <w:r w:rsidRPr="00377268">
              <w:rPr>
                <w:rFonts w:cs="Arial"/>
                <w:b/>
                <w:sz w:val="18"/>
                <w:szCs w:val="18"/>
              </w:rPr>
              <w:t>671</w:t>
            </w:r>
          </w:p>
        </w:tc>
      </w:tr>
      <w:tr w:rsidR="0008785D" w:rsidRPr="00377268" w14:paraId="4DC51316" w14:textId="77777777" w:rsidTr="0008785D">
        <w:trPr>
          <w:trHeight w:val="274"/>
        </w:trPr>
        <w:tc>
          <w:tcPr>
            <w:tcW w:w="1615" w:type="dxa"/>
            <w:shd w:val="clear" w:color="auto" w:fill="auto"/>
          </w:tcPr>
          <w:p w14:paraId="74DF0438" w14:textId="77777777" w:rsidR="0008785D" w:rsidRPr="00207ACB" w:rsidRDefault="0008785D" w:rsidP="0008785D">
            <w:pPr>
              <w:jc w:val="left"/>
              <w:rPr>
                <w:rFonts w:cs="Arial"/>
                <w:bCs/>
                <w:sz w:val="18"/>
                <w:szCs w:val="18"/>
              </w:rPr>
            </w:pPr>
            <w:r w:rsidRPr="00207ACB">
              <w:rPr>
                <w:rFonts w:cs="Arial"/>
                <w:bCs/>
                <w:sz w:val="18"/>
                <w:szCs w:val="18"/>
              </w:rPr>
              <w:t>Social Assistance Package</w:t>
            </w:r>
          </w:p>
        </w:tc>
        <w:tc>
          <w:tcPr>
            <w:tcW w:w="6226" w:type="dxa"/>
            <w:shd w:val="clear" w:color="auto" w:fill="auto"/>
          </w:tcPr>
          <w:p w14:paraId="2AB1C1D8" w14:textId="536C66AB" w:rsidR="0008785D" w:rsidRPr="00377268" w:rsidRDefault="0008785D" w:rsidP="0008785D">
            <w:pPr>
              <w:ind w:left="72" w:right="-36" w:hanging="140"/>
              <w:rPr>
                <w:rFonts w:cs="Arial"/>
                <w:sz w:val="18"/>
                <w:szCs w:val="18"/>
              </w:rPr>
            </w:pPr>
            <w:r w:rsidRPr="00377268">
              <w:rPr>
                <w:rFonts w:cs="Arial"/>
                <w:sz w:val="18"/>
                <w:szCs w:val="18"/>
              </w:rPr>
              <w:t>-</w:t>
            </w:r>
            <w:r w:rsidRPr="00377268">
              <w:rPr>
                <w:rFonts w:cs="Arial"/>
                <w:sz w:val="18"/>
                <w:szCs w:val="18"/>
              </w:rPr>
              <w:tab/>
              <w:t xml:space="preserve">Employers </w:t>
            </w:r>
            <w:r w:rsidR="00CA7367">
              <w:rPr>
                <w:rFonts w:cs="Arial"/>
                <w:sz w:val="18"/>
                <w:szCs w:val="18"/>
              </w:rPr>
              <w:t>receive tax exemption for each retained job for 6 months’</w:t>
            </w:r>
          </w:p>
          <w:p w14:paraId="00664BB9" w14:textId="0658CFF3" w:rsidR="0008785D" w:rsidRPr="00377268" w:rsidRDefault="0008785D" w:rsidP="0008785D">
            <w:pPr>
              <w:ind w:left="72" w:right="-36" w:hanging="140"/>
              <w:rPr>
                <w:rFonts w:cs="Arial"/>
                <w:sz w:val="18"/>
                <w:szCs w:val="18"/>
              </w:rPr>
            </w:pPr>
            <w:r w:rsidRPr="00377268">
              <w:rPr>
                <w:rFonts w:cs="Arial"/>
                <w:sz w:val="18"/>
                <w:szCs w:val="18"/>
              </w:rPr>
              <w:t>- Employees who have lost their jobs or are on unpaid leave will receive GEL200 per month for 6 months</w:t>
            </w:r>
            <w:r>
              <w:rPr>
                <w:rFonts w:cs="Arial"/>
                <w:sz w:val="18"/>
                <w:szCs w:val="18"/>
              </w:rPr>
              <w:t xml:space="preserve">. </w:t>
            </w:r>
            <w:r w:rsidR="00CA7367">
              <w:rPr>
                <w:rFonts w:cs="Arial"/>
                <w:sz w:val="18"/>
                <w:szCs w:val="18"/>
              </w:rPr>
              <w:t xml:space="preserve">Up to </w:t>
            </w:r>
            <w:r>
              <w:rPr>
                <w:rFonts w:cs="Arial"/>
                <w:sz w:val="18"/>
                <w:szCs w:val="18"/>
              </w:rPr>
              <w:t xml:space="preserve">350,000 citizens will benefit from this assistance. </w:t>
            </w:r>
          </w:p>
          <w:p w14:paraId="6F7399EC" w14:textId="63A2F01E" w:rsidR="0008785D" w:rsidRPr="00377268" w:rsidRDefault="0008785D" w:rsidP="0008785D">
            <w:pPr>
              <w:ind w:left="72" w:right="-36" w:hanging="140"/>
              <w:rPr>
                <w:rFonts w:cs="Arial"/>
                <w:sz w:val="18"/>
                <w:szCs w:val="18"/>
              </w:rPr>
            </w:pPr>
            <w:r w:rsidRPr="00377268">
              <w:rPr>
                <w:rFonts w:cs="Arial"/>
                <w:sz w:val="18"/>
                <w:szCs w:val="18"/>
              </w:rPr>
              <w:t>- Persons employed in the informal sector and self-employed persons who can demonstrate loss of income will receive a one-time assistance of GEL300</w:t>
            </w:r>
            <w:r>
              <w:rPr>
                <w:rFonts w:cs="Arial"/>
                <w:sz w:val="18"/>
                <w:szCs w:val="18"/>
              </w:rPr>
              <w:t xml:space="preserve">. </w:t>
            </w:r>
            <w:r w:rsidR="00CA7367">
              <w:rPr>
                <w:rFonts w:cs="Arial"/>
                <w:sz w:val="18"/>
                <w:szCs w:val="18"/>
              </w:rPr>
              <w:t xml:space="preserve">Up to </w:t>
            </w:r>
            <w:r>
              <w:rPr>
                <w:rFonts w:cs="Arial"/>
                <w:sz w:val="18"/>
                <w:szCs w:val="18"/>
              </w:rPr>
              <w:t xml:space="preserve">250,000 citizens </w:t>
            </w:r>
            <w:r w:rsidR="00CA7367">
              <w:rPr>
                <w:rFonts w:cs="Arial"/>
                <w:sz w:val="18"/>
                <w:szCs w:val="18"/>
              </w:rPr>
              <w:t>will be able to</w:t>
            </w:r>
            <w:r>
              <w:rPr>
                <w:rFonts w:cs="Arial"/>
                <w:sz w:val="18"/>
                <w:szCs w:val="18"/>
              </w:rPr>
              <w:t xml:space="preserve"> benefit from this assistance. </w:t>
            </w:r>
          </w:p>
          <w:p w14:paraId="40E4E8E6" w14:textId="4C540001" w:rsidR="0008785D" w:rsidRPr="00377268" w:rsidRDefault="0008785D" w:rsidP="0008785D">
            <w:pPr>
              <w:ind w:left="72" w:right="-36" w:hanging="140"/>
              <w:rPr>
                <w:rFonts w:cs="Arial"/>
                <w:sz w:val="18"/>
                <w:szCs w:val="18"/>
              </w:rPr>
            </w:pPr>
            <w:r w:rsidRPr="00377268">
              <w:rPr>
                <w:rFonts w:cs="Arial"/>
                <w:sz w:val="18"/>
                <w:szCs w:val="18"/>
              </w:rPr>
              <w:t>- Cash assistance to families whose social rating score is between 65,000 and 100,000</w:t>
            </w:r>
            <w:r>
              <w:rPr>
                <w:rFonts w:cs="Arial"/>
                <w:sz w:val="18"/>
                <w:szCs w:val="18"/>
              </w:rPr>
              <w:t xml:space="preserve">. </w:t>
            </w:r>
            <w:r w:rsidR="00CA7367">
              <w:rPr>
                <w:rFonts w:cs="Arial"/>
                <w:sz w:val="18"/>
                <w:szCs w:val="18"/>
              </w:rPr>
              <w:t>Up to 190,000 citizens are expected to benefit from this assistance</w:t>
            </w:r>
            <w:r>
              <w:rPr>
                <w:rFonts w:cs="Arial"/>
                <w:sz w:val="18"/>
                <w:szCs w:val="18"/>
              </w:rPr>
              <w:t>.</w:t>
            </w:r>
          </w:p>
          <w:p w14:paraId="28C792A7" w14:textId="0FC07F48" w:rsidR="0008785D" w:rsidRPr="00377268" w:rsidRDefault="0008785D" w:rsidP="0008785D">
            <w:pPr>
              <w:ind w:left="72" w:right="-36" w:hanging="140"/>
              <w:rPr>
                <w:rFonts w:cs="Arial"/>
                <w:sz w:val="18"/>
                <w:szCs w:val="18"/>
              </w:rPr>
            </w:pPr>
            <w:r w:rsidRPr="00377268">
              <w:rPr>
                <w:rFonts w:cs="Arial"/>
                <w:sz w:val="18"/>
                <w:szCs w:val="18"/>
              </w:rPr>
              <w:t xml:space="preserve">- </w:t>
            </w:r>
            <w:r w:rsidR="00CA7367">
              <w:rPr>
                <w:rFonts w:cs="Arial"/>
                <w:sz w:val="18"/>
                <w:szCs w:val="18"/>
              </w:rPr>
              <w:t>Top-up cash</w:t>
            </w:r>
            <w:r w:rsidRPr="00377268">
              <w:rPr>
                <w:rFonts w:cs="Arial"/>
                <w:sz w:val="18"/>
                <w:szCs w:val="18"/>
              </w:rPr>
              <w:t xml:space="preserve"> </w:t>
            </w:r>
            <w:r w:rsidR="00CA7367">
              <w:rPr>
                <w:rFonts w:cs="Arial"/>
                <w:sz w:val="18"/>
                <w:szCs w:val="18"/>
              </w:rPr>
              <w:t>a</w:t>
            </w:r>
            <w:r w:rsidRPr="00377268">
              <w:rPr>
                <w:rFonts w:cs="Arial"/>
                <w:sz w:val="18"/>
                <w:szCs w:val="18"/>
              </w:rPr>
              <w:t>ssistance to families whose social rating score is between 0 and 100,000 and who have three or more children under the age of 16</w:t>
            </w:r>
            <w:r>
              <w:rPr>
                <w:rFonts w:cs="Arial"/>
                <w:sz w:val="18"/>
                <w:szCs w:val="18"/>
              </w:rPr>
              <w:t>. Will benefit 130,000 citizens.</w:t>
            </w:r>
          </w:p>
          <w:p w14:paraId="0B51D502" w14:textId="32ED2B7E" w:rsidR="0008785D" w:rsidRPr="00377268" w:rsidRDefault="0008785D" w:rsidP="0008785D">
            <w:pPr>
              <w:ind w:left="72" w:right="-36" w:hanging="140"/>
              <w:rPr>
                <w:rFonts w:cs="Arial"/>
                <w:sz w:val="18"/>
                <w:szCs w:val="18"/>
              </w:rPr>
            </w:pPr>
            <w:r w:rsidRPr="00377268">
              <w:rPr>
                <w:rFonts w:cs="Arial"/>
                <w:sz w:val="18"/>
                <w:szCs w:val="18"/>
              </w:rPr>
              <w:t>- Cash assistance to persons with severe disabilities and disabled children</w:t>
            </w:r>
            <w:r>
              <w:rPr>
                <w:rFonts w:cs="Arial"/>
                <w:sz w:val="18"/>
                <w:szCs w:val="18"/>
              </w:rPr>
              <w:t xml:space="preserve">. </w:t>
            </w:r>
            <w:r w:rsidR="00CA7367">
              <w:rPr>
                <w:rFonts w:cs="Arial"/>
                <w:sz w:val="18"/>
                <w:szCs w:val="18"/>
              </w:rPr>
              <w:t>Up to</w:t>
            </w:r>
            <w:r>
              <w:rPr>
                <w:rFonts w:cs="Arial"/>
                <w:sz w:val="18"/>
                <w:szCs w:val="18"/>
              </w:rPr>
              <w:t xml:space="preserve"> 40,000 citizens</w:t>
            </w:r>
            <w:r w:rsidR="00CA7367">
              <w:rPr>
                <w:rFonts w:cs="Arial"/>
                <w:sz w:val="18"/>
                <w:szCs w:val="18"/>
              </w:rPr>
              <w:t xml:space="preserve"> are expected to benefit from this assistance</w:t>
            </w:r>
            <w:r>
              <w:rPr>
                <w:rFonts w:cs="Arial"/>
                <w:sz w:val="18"/>
                <w:szCs w:val="18"/>
              </w:rPr>
              <w:t xml:space="preserve">. </w:t>
            </w:r>
          </w:p>
          <w:p w14:paraId="5D655403" w14:textId="77777777" w:rsidR="0008785D" w:rsidRPr="00377268" w:rsidRDefault="0008785D" w:rsidP="0008785D">
            <w:pPr>
              <w:ind w:left="72" w:right="-36" w:hanging="140"/>
              <w:rPr>
                <w:rFonts w:cs="Arial"/>
                <w:sz w:val="18"/>
                <w:szCs w:val="18"/>
              </w:rPr>
            </w:pPr>
            <w:r w:rsidRPr="00377268">
              <w:rPr>
                <w:rFonts w:cs="Arial"/>
                <w:sz w:val="18"/>
                <w:szCs w:val="18"/>
              </w:rPr>
              <w:t>- Subsidized and administered prices on basic foodstuffs for 6 months.</w:t>
            </w:r>
          </w:p>
          <w:p w14:paraId="1354F054" w14:textId="77777777" w:rsidR="0008785D" w:rsidRPr="00377268" w:rsidRDefault="0008785D" w:rsidP="0008785D">
            <w:pPr>
              <w:ind w:left="72" w:right="-36" w:hanging="140"/>
              <w:rPr>
                <w:rFonts w:cs="Arial"/>
                <w:sz w:val="18"/>
                <w:szCs w:val="18"/>
              </w:rPr>
            </w:pPr>
            <w:r w:rsidRPr="00377268">
              <w:rPr>
                <w:rFonts w:cs="Arial"/>
                <w:sz w:val="18"/>
                <w:szCs w:val="18"/>
              </w:rPr>
              <w:t>- Subsidizing utility bills for via direct deposits with utility companies for a period of 3 months</w:t>
            </w:r>
            <w:r>
              <w:rPr>
                <w:rFonts w:cs="Arial"/>
                <w:sz w:val="18"/>
                <w:szCs w:val="18"/>
              </w:rPr>
              <w:t xml:space="preserve">. Expected to benefit 1,2 million families in electricity, water and waste management bills and 670,000 families in natural gas bills. </w:t>
            </w:r>
          </w:p>
        </w:tc>
        <w:tc>
          <w:tcPr>
            <w:tcW w:w="715" w:type="dxa"/>
            <w:shd w:val="clear" w:color="auto" w:fill="auto"/>
          </w:tcPr>
          <w:p w14:paraId="3C9475F2" w14:textId="77777777" w:rsidR="0008785D" w:rsidRPr="00377268" w:rsidRDefault="0008785D" w:rsidP="0008785D">
            <w:pPr>
              <w:jc w:val="center"/>
              <w:rPr>
                <w:rFonts w:cs="Arial"/>
                <w:sz w:val="18"/>
                <w:szCs w:val="18"/>
              </w:rPr>
            </w:pPr>
            <w:r w:rsidRPr="00377268">
              <w:rPr>
                <w:rFonts w:cs="Arial"/>
                <w:sz w:val="18"/>
                <w:szCs w:val="18"/>
              </w:rPr>
              <w:t>250</w:t>
            </w:r>
          </w:p>
          <w:p w14:paraId="267D9DEE" w14:textId="77777777" w:rsidR="0008785D" w:rsidRPr="00377268" w:rsidRDefault="0008785D" w:rsidP="0008785D">
            <w:pPr>
              <w:jc w:val="center"/>
              <w:rPr>
                <w:rFonts w:cs="Arial"/>
                <w:sz w:val="18"/>
                <w:szCs w:val="18"/>
              </w:rPr>
            </w:pPr>
          </w:p>
          <w:p w14:paraId="3C208535" w14:textId="77777777" w:rsidR="0008785D" w:rsidRPr="00377268" w:rsidRDefault="0008785D" w:rsidP="0008785D">
            <w:pPr>
              <w:jc w:val="center"/>
              <w:rPr>
                <w:rFonts w:cs="Arial"/>
                <w:sz w:val="18"/>
                <w:szCs w:val="18"/>
              </w:rPr>
            </w:pPr>
            <w:r w:rsidRPr="00377268">
              <w:rPr>
                <w:rFonts w:cs="Arial"/>
                <w:sz w:val="18"/>
                <w:szCs w:val="18"/>
              </w:rPr>
              <w:t>460</w:t>
            </w:r>
          </w:p>
          <w:p w14:paraId="46A3229D" w14:textId="77777777" w:rsidR="0008785D" w:rsidRPr="00377268" w:rsidRDefault="0008785D" w:rsidP="0008785D">
            <w:pPr>
              <w:jc w:val="center"/>
              <w:rPr>
                <w:rFonts w:cs="Arial"/>
                <w:sz w:val="18"/>
                <w:szCs w:val="18"/>
              </w:rPr>
            </w:pPr>
          </w:p>
          <w:p w14:paraId="7B73AB23" w14:textId="77777777" w:rsidR="0008785D" w:rsidRDefault="0008785D" w:rsidP="0008785D">
            <w:pPr>
              <w:jc w:val="center"/>
              <w:rPr>
                <w:rFonts w:cs="Arial"/>
                <w:sz w:val="18"/>
                <w:szCs w:val="18"/>
              </w:rPr>
            </w:pPr>
          </w:p>
          <w:p w14:paraId="1F795035" w14:textId="77777777" w:rsidR="0008785D" w:rsidRPr="00377268" w:rsidRDefault="0008785D" w:rsidP="0008785D">
            <w:pPr>
              <w:jc w:val="center"/>
              <w:rPr>
                <w:rFonts w:cs="Arial"/>
                <w:sz w:val="18"/>
                <w:szCs w:val="18"/>
              </w:rPr>
            </w:pPr>
            <w:r w:rsidRPr="00377268">
              <w:rPr>
                <w:rFonts w:cs="Arial"/>
                <w:sz w:val="18"/>
                <w:szCs w:val="18"/>
              </w:rPr>
              <w:t>75</w:t>
            </w:r>
          </w:p>
          <w:p w14:paraId="0C06C9B7" w14:textId="77777777" w:rsidR="0008785D" w:rsidRDefault="0008785D" w:rsidP="0008785D">
            <w:pPr>
              <w:jc w:val="center"/>
              <w:rPr>
                <w:rFonts w:cs="Arial"/>
                <w:sz w:val="18"/>
                <w:szCs w:val="18"/>
              </w:rPr>
            </w:pPr>
          </w:p>
          <w:p w14:paraId="7B751764" w14:textId="77777777" w:rsidR="0008785D" w:rsidRDefault="0008785D" w:rsidP="0008785D">
            <w:pPr>
              <w:jc w:val="center"/>
              <w:rPr>
                <w:rFonts w:cs="Arial"/>
                <w:sz w:val="18"/>
                <w:szCs w:val="18"/>
              </w:rPr>
            </w:pPr>
          </w:p>
          <w:p w14:paraId="560F5415" w14:textId="77777777" w:rsidR="0008785D" w:rsidRPr="00377268" w:rsidRDefault="0008785D" w:rsidP="0008785D">
            <w:pPr>
              <w:jc w:val="center"/>
              <w:rPr>
                <w:rFonts w:cs="Arial"/>
                <w:sz w:val="18"/>
                <w:szCs w:val="18"/>
              </w:rPr>
            </w:pPr>
            <w:r w:rsidRPr="00377268">
              <w:rPr>
                <w:rFonts w:cs="Arial"/>
                <w:sz w:val="18"/>
                <w:szCs w:val="18"/>
              </w:rPr>
              <w:t>45</w:t>
            </w:r>
          </w:p>
          <w:p w14:paraId="2519941B" w14:textId="77777777" w:rsidR="0008785D" w:rsidRPr="00377268" w:rsidRDefault="0008785D" w:rsidP="0008785D">
            <w:pPr>
              <w:jc w:val="center"/>
              <w:rPr>
                <w:rFonts w:cs="Arial"/>
                <w:sz w:val="18"/>
                <w:szCs w:val="18"/>
              </w:rPr>
            </w:pPr>
          </w:p>
          <w:p w14:paraId="6153878E" w14:textId="77777777" w:rsidR="0008785D" w:rsidRPr="00377268" w:rsidRDefault="0008785D" w:rsidP="0008785D">
            <w:pPr>
              <w:jc w:val="center"/>
              <w:rPr>
                <w:rFonts w:cs="Arial"/>
                <w:sz w:val="18"/>
                <w:szCs w:val="18"/>
              </w:rPr>
            </w:pPr>
            <w:r w:rsidRPr="00377268">
              <w:rPr>
                <w:rFonts w:cs="Arial"/>
                <w:sz w:val="18"/>
                <w:szCs w:val="18"/>
              </w:rPr>
              <w:t>13</w:t>
            </w:r>
          </w:p>
          <w:p w14:paraId="5C8431D2" w14:textId="77777777" w:rsidR="0008785D" w:rsidRPr="00377268" w:rsidRDefault="0008785D" w:rsidP="0008785D">
            <w:pPr>
              <w:jc w:val="center"/>
              <w:rPr>
                <w:rFonts w:cs="Arial"/>
                <w:sz w:val="18"/>
                <w:szCs w:val="18"/>
              </w:rPr>
            </w:pPr>
          </w:p>
          <w:p w14:paraId="567819F5" w14:textId="77777777" w:rsidR="0008785D" w:rsidRPr="00377268" w:rsidRDefault="0008785D" w:rsidP="0008785D">
            <w:pPr>
              <w:rPr>
                <w:rFonts w:cs="Arial"/>
                <w:sz w:val="18"/>
                <w:szCs w:val="18"/>
              </w:rPr>
            </w:pPr>
            <w:r>
              <w:rPr>
                <w:rFonts w:cs="Arial"/>
                <w:sz w:val="18"/>
                <w:szCs w:val="18"/>
              </w:rPr>
              <w:t xml:space="preserve">   </w:t>
            </w:r>
            <w:r w:rsidRPr="00377268">
              <w:rPr>
                <w:rFonts w:cs="Arial"/>
                <w:sz w:val="18"/>
                <w:szCs w:val="18"/>
              </w:rPr>
              <w:t>25</w:t>
            </w:r>
          </w:p>
          <w:p w14:paraId="5888AF95" w14:textId="77777777" w:rsidR="0008785D" w:rsidRPr="00377268" w:rsidRDefault="0008785D" w:rsidP="0008785D">
            <w:pPr>
              <w:jc w:val="center"/>
              <w:rPr>
                <w:rFonts w:cs="Arial"/>
                <w:sz w:val="18"/>
                <w:szCs w:val="18"/>
              </w:rPr>
            </w:pPr>
          </w:p>
          <w:p w14:paraId="0EC4D055" w14:textId="77777777" w:rsidR="0008785D" w:rsidRPr="00377268" w:rsidRDefault="0008785D" w:rsidP="0008785D">
            <w:pPr>
              <w:jc w:val="center"/>
              <w:rPr>
                <w:rFonts w:cs="Arial"/>
                <w:sz w:val="18"/>
                <w:szCs w:val="18"/>
              </w:rPr>
            </w:pPr>
            <w:r w:rsidRPr="00377268">
              <w:rPr>
                <w:rFonts w:cs="Arial"/>
                <w:sz w:val="18"/>
                <w:szCs w:val="18"/>
              </w:rPr>
              <w:t>2</w:t>
            </w:r>
          </w:p>
          <w:p w14:paraId="2F790141" w14:textId="77777777" w:rsidR="0008785D" w:rsidRPr="00377268" w:rsidRDefault="0008785D" w:rsidP="0008785D">
            <w:pPr>
              <w:jc w:val="center"/>
              <w:rPr>
                <w:rFonts w:cs="Arial"/>
                <w:sz w:val="18"/>
                <w:szCs w:val="18"/>
              </w:rPr>
            </w:pPr>
          </w:p>
          <w:p w14:paraId="5031F32E" w14:textId="77777777" w:rsidR="0008785D" w:rsidRPr="00377268" w:rsidRDefault="0008785D" w:rsidP="0008785D">
            <w:pPr>
              <w:jc w:val="center"/>
              <w:rPr>
                <w:rFonts w:cs="Arial"/>
                <w:sz w:val="18"/>
                <w:szCs w:val="18"/>
              </w:rPr>
            </w:pPr>
            <w:r w:rsidRPr="00377268">
              <w:rPr>
                <w:rFonts w:cs="Arial"/>
                <w:sz w:val="18"/>
                <w:szCs w:val="18"/>
              </w:rPr>
              <w:t>15</w:t>
            </w:r>
          </w:p>
          <w:p w14:paraId="274AFA03" w14:textId="77777777" w:rsidR="0008785D" w:rsidRPr="00377268" w:rsidRDefault="0008785D" w:rsidP="0008785D">
            <w:pPr>
              <w:jc w:val="center"/>
              <w:rPr>
                <w:rFonts w:cs="Arial"/>
                <w:sz w:val="18"/>
                <w:szCs w:val="18"/>
              </w:rPr>
            </w:pPr>
            <w:r w:rsidRPr="00377268">
              <w:rPr>
                <w:rFonts w:cs="Arial"/>
                <w:sz w:val="18"/>
                <w:szCs w:val="18"/>
              </w:rPr>
              <w:t>150</w:t>
            </w:r>
          </w:p>
        </w:tc>
        <w:tc>
          <w:tcPr>
            <w:tcW w:w="804" w:type="dxa"/>
            <w:shd w:val="clear" w:color="auto" w:fill="auto"/>
          </w:tcPr>
          <w:p w14:paraId="026617D1" w14:textId="77777777" w:rsidR="0008785D" w:rsidRPr="00377268" w:rsidRDefault="0008785D" w:rsidP="0008785D">
            <w:pPr>
              <w:jc w:val="center"/>
              <w:rPr>
                <w:rFonts w:cs="Arial"/>
                <w:sz w:val="18"/>
                <w:szCs w:val="18"/>
              </w:rPr>
            </w:pPr>
            <w:r w:rsidRPr="00377268">
              <w:rPr>
                <w:rFonts w:cs="Arial"/>
                <w:sz w:val="18"/>
                <w:szCs w:val="18"/>
              </w:rPr>
              <w:t>80</w:t>
            </w:r>
          </w:p>
          <w:p w14:paraId="21AC4E6C" w14:textId="77777777" w:rsidR="0008785D" w:rsidRPr="00377268" w:rsidRDefault="0008785D" w:rsidP="0008785D">
            <w:pPr>
              <w:jc w:val="center"/>
              <w:rPr>
                <w:rFonts w:cs="Arial"/>
                <w:sz w:val="18"/>
                <w:szCs w:val="18"/>
              </w:rPr>
            </w:pPr>
          </w:p>
          <w:p w14:paraId="6A494021" w14:textId="77777777" w:rsidR="0008785D" w:rsidRPr="00377268" w:rsidRDefault="0008785D" w:rsidP="0008785D">
            <w:pPr>
              <w:jc w:val="center"/>
              <w:rPr>
                <w:rFonts w:cs="Arial"/>
                <w:sz w:val="18"/>
                <w:szCs w:val="18"/>
              </w:rPr>
            </w:pPr>
            <w:r w:rsidRPr="00377268">
              <w:rPr>
                <w:rFonts w:cs="Arial"/>
                <w:sz w:val="18"/>
                <w:szCs w:val="18"/>
              </w:rPr>
              <w:t>146</w:t>
            </w:r>
          </w:p>
          <w:p w14:paraId="172E19FE" w14:textId="77777777" w:rsidR="0008785D" w:rsidRPr="00377268" w:rsidRDefault="0008785D" w:rsidP="0008785D">
            <w:pPr>
              <w:jc w:val="center"/>
              <w:rPr>
                <w:rFonts w:cs="Arial"/>
                <w:sz w:val="18"/>
                <w:szCs w:val="18"/>
              </w:rPr>
            </w:pPr>
          </w:p>
          <w:p w14:paraId="5EA7DD3E" w14:textId="77777777" w:rsidR="0008785D" w:rsidRPr="00377268" w:rsidRDefault="0008785D" w:rsidP="0008785D">
            <w:pPr>
              <w:jc w:val="center"/>
              <w:rPr>
                <w:rFonts w:cs="Arial"/>
                <w:sz w:val="18"/>
                <w:szCs w:val="18"/>
              </w:rPr>
            </w:pPr>
          </w:p>
          <w:p w14:paraId="68DF87A9" w14:textId="77777777" w:rsidR="0008785D" w:rsidRPr="00377268" w:rsidRDefault="0008785D" w:rsidP="0008785D">
            <w:pPr>
              <w:jc w:val="center"/>
              <w:rPr>
                <w:rFonts w:cs="Arial"/>
                <w:sz w:val="18"/>
                <w:szCs w:val="18"/>
              </w:rPr>
            </w:pPr>
            <w:r w:rsidRPr="00377268">
              <w:rPr>
                <w:rFonts w:cs="Arial"/>
                <w:sz w:val="18"/>
                <w:szCs w:val="18"/>
              </w:rPr>
              <w:t>24</w:t>
            </w:r>
          </w:p>
          <w:p w14:paraId="62644D10" w14:textId="77777777" w:rsidR="0008785D" w:rsidRPr="00377268" w:rsidRDefault="0008785D" w:rsidP="0008785D">
            <w:pPr>
              <w:jc w:val="center"/>
              <w:rPr>
                <w:rFonts w:cs="Arial"/>
                <w:sz w:val="18"/>
                <w:szCs w:val="18"/>
              </w:rPr>
            </w:pPr>
          </w:p>
          <w:p w14:paraId="3CED4384" w14:textId="77777777" w:rsidR="0008785D" w:rsidRPr="00377268" w:rsidRDefault="0008785D" w:rsidP="0008785D">
            <w:pPr>
              <w:jc w:val="center"/>
              <w:rPr>
                <w:rFonts w:cs="Arial"/>
                <w:sz w:val="18"/>
                <w:szCs w:val="18"/>
              </w:rPr>
            </w:pPr>
          </w:p>
          <w:p w14:paraId="7543FD96" w14:textId="77777777" w:rsidR="0008785D" w:rsidRPr="00377268" w:rsidRDefault="0008785D" w:rsidP="0008785D">
            <w:pPr>
              <w:jc w:val="center"/>
              <w:rPr>
                <w:rFonts w:cs="Arial"/>
                <w:sz w:val="18"/>
                <w:szCs w:val="18"/>
              </w:rPr>
            </w:pPr>
            <w:r w:rsidRPr="00377268">
              <w:rPr>
                <w:rFonts w:cs="Arial"/>
                <w:sz w:val="18"/>
                <w:szCs w:val="18"/>
              </w:rPr>
              <w:t>14</w:t>
            </w:r>
          </w:p>
          <w:p w14:paraId="4C644D24" w14:textId="77777777" w:rsidR="0008785D" w:rsidRPr="00377268" w:rsidRDefault="0008785D" w:rsidP="0008785D">
            <w:pPr>
              <w:jc w:val="center"/>
              <w:rPr>
                <w:rFonts w:cs="Arial"/>
                <w:sz w:val="18"/>
                <w:szCs w:val="18"/>
              </w:rPr>
            </w:pPr>
          </w:p>
          <w:p w14:paraId="3EF03C6A" w14:textId="77777777" w:rsidR="0008785D" w:rsidRPr="00377268" w:rsidRDefault="0008785D" w:rsidP="0008785D">
            <w:pPr>
              <w:jc w:val="center"/>
              <w:rPr>
                <w:rFonts w:cs="Arial"/>
                <w:sz w:val="18"/>
                <w:szCs w:val="18"/>
              </w:rPr>
            </w:pPr>
            <w:r w:rsidRPr="00377268">
              <w:rPr>
                <w:rFonts w:cs="Arial"/>
                <w:sz w:val="18"/>
                <w:szCs w:val="18"/>
              </w:rPr>
              <w:t>4</w:t>
            </w:r>
          </w:p>
          <w:p w14:paraId="214A7C49" w14:textId="77777777" w:rsidR="0008785D" w:rsidRPr="00377268" w:rsidRDefault="0008785D" w:rsidP="0008785D">
            <w:pPr>
              <w:jc w:val="center"/>
              <w:rPr>
                <w:rFonts w:cs="Arial"/>
                <w:sz w:val="18"/>
                <w:szCs w:val="18"/>
              </w:rPr>
            </w:pPr>
          </w:p>
          <w:p w14:paraId="418EC4D3" w14:textId="77777777" w:rsidR="0008785D" w:rsidRPr="00377268" w:rsidRDefault="0008785D" w:rsidP="0008785D">
            <w:pPr>
              <w:rPr>
                <w:rFonts w:cs="Arial"/>
                <w:sz w:val="18"/>
                <w:szCs w:val="18"/>
              </w:rPr>
            </w:pPr>
            <w:r>
              <w:rPr>
                <w:rFonts w:cs="Arial"/>
                <w:sz w:val="18"/>
                <w:szCs w:val="18"/>
              </w:rPr>
              <w:t xml:space="preserve">    </w:t>
            </w:r>
            <w:r w:rsidRPr="00377268">
              <w:rPr>
                <w:rFonts w:cs="Arial"/>
                <w:sz w:val="18"/>
                <w:szCs w:val="18"/>
              </w:rPr>
              <w:t>8</w:t>
            </w:r>
          </w:p>
          <w:p w14:paraId="1D21B75C" w14:textId="77777777" w:rsidR="0008785D" w:rsidRPr="00377268" w:rsidRDefault="0008785D" w:rsidP="0008785D">
            <w:pPr>
              <w:jc w:val="center"/>
              <w:rPr>
                <w:rFonts w:cs="Arial"/>
                <w:sz w:val="18"/>
                <w:szCs w:val="18"/>
              </w:rPr>
            </w:pPr>
          </w:p>
          <w:p w14:paraId="3183FCB2" w14:textId="77777777" w:rsidR="0008785D" w:rsidRPr="00377268" w:rsidRDefault="0008785D" w:rsidP="0008785D">
            <w:pPr>
              <w:jc w:val="center"/>
              <w:rPr>
                <w:rFonts w:cs="Arial"/>
                <w:sz w:val="18"/>
                <w:szCs w:val="18"/>
              </w:rPr>
            </w:pPr>
            <w:r w:rsidRPr="00377268">
              <w:rPr>
                <w:rFonts w:cs="Arial"/>
                <w:sz w:val="18"/>
                <w:szCs w:val="18"/>
              </w:rPr>
              <w:t>0.6</w:t>
            </w:r>
          </w:p>
          <w:p w14:paraId="2F81FBF3" w14:textId="77777777" w:rsidR="0008785D" w:rsidRPr="00377268" w:rsidRDefault="0008785D" w:rsidP="0008785D">
            <w:pPr>
              <w:jc w:val="center"/>
              <w:rPr>
                <w:rFonts w:cs="Arial"/>
                <w:sz w:val="18"/>
                <w:szCs w:val="18"/>
              </w:rPr>
            </w:pPr>
          </w:p>
          <w:p w14:paraId="28AB7777" w14:textId="77777777" w:rsidR="0008785D" w:rsidRPr="00377268" w:rsidRDefault="0008785D" w:rsidP="0008785D">
            <w:pPr>
              <w:jc w:val="center"/>
              <w:rPr>
                <w:rFonts w:cs="Arial"/>
                <w:sz w:val="18"/>
                <w:szCs w:val="18"/>
              </w:rPr>
            </w:pPr>
            <w:r w:rsidRPr="00377268">
              <w:rPr>
                <w:rFonts w:cs="Arial"/>
                <w:sz w:val="18"/>
                <w:szCs w:val="18"/>
              </w:rPr>
              <w:t>4.8</w:t>
            </w:r>
          </w:p>
          <w:p w14:paraId="5512D012" w14:textId="77777777" w:rsidR="0008785D" w:rsidRPr="00377268" w:rsidRDefault="0008785D" w:rsidP="0008785D">
            <w:pPr>
              <w:jc w:val="center"/>
              <w:rPr>
                <w:rFonts w:cs="Arial"/>
                <w:sz w:val="18"/>
                <w:szCs w:val="18"/>
              </w:rPr>
            </w:pPr>
            <w:r w:rsidRPr="00377268">
              <w:rPr>
                <w:rFonts w:cs="Arial"/>
                <w:sz w:val="18"/>
                <w:szCs w:val="18"/>
              </w:rPr>
              <w:t>48</w:t>
            </w:r>
          </w:p>
        </w:tc>
      </w:tr>
      <w:tr w:rsidR="0008785D" w:rsidRPr="00377268" w14:paraId="0B632F23" w14:textId="77777777" w:rsidTr="0008785D">
        <w:trPr>
          <w:trHeight w:val="113"/>
        </w:trPr>
        <w:tc>
          <w:tcPr>
            <w:tcW w:w="7841" w:type="dxa"/>
            <w:gridSpan w:val="2"/>
            <w:shd w:val="clear" w:color="auto" w:fill="auto"/>
            <w:vAlign w:val="center"/>
          </w:tcPr>
          <w:p w14:paraId="1C7A16F3" w14:textId="77777777" w:rsidR="0008785D" w:rsidRPr="00377268" w:rsidRDefault="0008785D" w:rsidP="0008785D">
            <w:pPr>
              <w:rPr>
                <w:rFonts w:cs="Arial"/>
                <w:b/>
                <w:sz w:val="18"/>
                <w:szCs w:val="18"/>
              </w:rPr>
            </w:pPr>
            <w:r w:rsidRPr="00377268">
              <w:rPr>
                <w:rFonts w:cs="Arial"/>
                <w:b/>
                <w:sz w:val="18"/>
                <w:szCs w:val="18"/>
              </w:rPr>
              <w:t>Subtotal</w:t>
            </w:r>
          </w:p>
        </w:tc>
        <w:tc>
          <w:tcPr>
            <w:tcW w:w="715" w:type="dxa"/>
            <w:shd w:val="clear" w:color="auto" w:fill="auto"/>
          </w:tcPr>
          <w:p w14:paraId="12CF2798" w14:textId="77777777" w:rsidR="0008785D" w:rsidRPr="00377268" w:rsidRDefault="0008785D" w:rsidP="0008785D">
            <w:pPr>
              <w:jc w:val="center"/>
              <w:rPr>
                <w:rFonts w:cs="Arial"/>
                <w:b/>
                <w:sz w:val="18"/>
                <w:szCs w:val="18"/>
              </w:rPr>
            </w:pPr>
            <w:r w:rsidRPr="00377268">
              <w:rPr>
                <w:rFonts w:cs="Arial"/>
                <w:b/>
                <w:sz w:val="18"/>
                <w:szCs w:val="18"/>
              </w:rPr>
              <w:t>1,035</w:t>
            </w:r>
          </w:p>
        </w:tc>
        <w:tc>
          <w:tcPr>
            <w:tcW w:w="804" w:type="dxa"/>
            <w:shd w:val="clear" w:color="auto" w:fill="auto"/>
          </w:tcPr>
          <w:p w14:paraId="302EB85A" w14:textId="77777777" w:rsidR="0008785D" w:rsidRPr="00377268" w:rsidRDefault="0008785D" w:rsidP="0008785D">
            <w:pPr>
              <w:jc w:val="center"/>
              <w:rPr>
                <w:rFonts w:cs="Arial"/>
                <w:b/>
                <w:sz w:val="18"/>
                <w:szCs w:val="18"/>
              </w:rPr>
            </w:pPr>
            <w:r w:rsidRPr="00377268">
              <w:rPr>
                <w:rFonts w:cs="Arial"/>
                <w:b/>
                <w:sz w:val="18"/>
                <w:szCs w:val="18"/>
              </w:rPr>
              <w:t>329</w:t>
            </w:r>
          </w:p>
        </w:tc>
      </w:tr>
      <w:tr w:rsidR="0008785D" w:rsidRPr="00377268" w14:paraId="76B0065D" w14:textId="77777777" w:rsidTr="0008785D">
        <w:trPr>
          <w:trHeight w:val="113"/>
        </w:trPr>
        <w:tc>
          <w:tcPr>
            <w:tcW w:w="7841" w:type="dxa"/>
            <w:gridSpan w:val="2"/>
            <w:shd w:val="clear" w:color="auto" w:fill="auto"/>
          </w:tcPr>
          <w:p w14:paraId="77140E67" w14:textId="77777777" w:rsidR="0008785D" w:rsidRPr="00377268" w:rsidRDefault="0008785D" w:rsidP="0008785D">
            <w:pPr>
              <w:rPr>
                <w:rFonts w:cs="Arial"/>
                <w:b/>
                <w:sz w:val="18"/>
                <w:szCs w:val="18"/>
              </w:rPr>
            </w:pPr>
            <w:r w:rsidRPr="00377268">
              <w:rPr>
                <w:rFonts w:cs="Arial"/>
                <w:b/>
                <w:sz w:val="18"/>
                <w:szCs w:val="18"/>
              </w:rPr>
              <w:t>Total</w:t>
            </w:r>
          </w:p>
        </w:tc>
        <w:tc>
          <w:tcPr>
            <w:tcW w:w="715" w:type="dxa"/>
            <w:shd w:val="clear" w:color="auto" w:fill="auto"/>
          </w:tcPr>
          <w:p w14:paraId="57798A90" w14:textId="77777777" w:rsidR="0008785D" w:rsidRPr="00377268" w:rsidRDefault="0008785D" w:rsidP="0008785D">
            <w:pPr>
              <w:jc w:val="center"/>
              <w:rPr>
                <w:rFonts w:cs="Arial"/>
                <w:b/>
                <w:sz w:val="18"/>
                <w:szCs w:val="18"/>
              </w:rPr>
            </w:pPr>
            <w:r w:rsidRPr="00377268">
              <w:rPr>
                <w:rFonts w:cs="Arial"/>
                <w:b/>
                <w:sz w:val="18"/>
                <w:szCs w:val="18"/>
              </w:rPr>
              <w:t>3,500</w:t>
            </w:r>
          </w:p>
        </w:tc>
        <w:tc>
          <w:tcPr>
            <w:tcW w:w="804" w:type="dxa"/>
            <w:shd w:val="clear" w:color="auto" w:fill="auto"/>
          </w:tcPr>
          <w:p w14:paraId="6CC5ADF8" w14:textId="77777777" w:rsidR="0008785D" w:rsidRPr="00377268" w:rsidRDefault="0008785D" w:rsidP="0008785D">
            <w:pPr>
              <w:jc w:val="center"/>
              <w:rPr>
                <w:rFonts w:cs="Arial"/>
                <w:b/>
                <w:sz w:val="18"/>
                <w:szCs w:val="18"/>
              </w:rPr>
            </w:pPr>
            <w:r w:rsidRPr="00377268">
              <w:rPr>
                <w:rFonts w:cs="Arial"/>
                <w:b/>
                <w:sz w:val="18"/>
                <w:szCs w:val="18"/>
              </w:rPr>
              <w:t>1,108</w:t>
            </w:r>
          </w:p>
        </w:tc>
      </w:tr>
    </w:tbl>
    <w:p w14:paraId="2E1C6A47" w14:textId="674CD1DA" w:rsidR="00242037" w:rsidRPr="00F83AD7" w:rsidRDefault="0008785D" w:rsidP="00177627">
      <w:pPr>
        <w:spacing w:after="120" w:line="480" w:lineRule="auto"/>
        <w:rPr>
          <w:rFonts w:ascii="Helvetica" w:hAnsi="Helvetica"/>
          <w:b/>
          <w:bCs/>
        </w:rPr>
      </w:pPr>
      <w:r w:rsidRPr="005D09C8">
        <w:rPr>
          <w:b/>
          <w:bCs/>
        </w:rPr>
        <w:t xml:space="preserve"> </w:t>
      </w:r>
      <w:r w:rsidRPr="00F83AD7">
        <w:rPr>
          <w:rFonts w:ascii="Helvetica" w:hAnsi="Helvetica"/>
          <w:b/>
        </w:rPr>
        <w:t>Georgia's Anti-Crisis Economic Plan</w:t>
      </w:r>
    </w:p>
    <w:p w14:paraId="091B91CF" w14:textId="01B55E1D" w:rsidR="00F83AD7" w:rsidRPr="00F83AD7" w:rsidRDefault="00F83AD7" w:rsidP="00F83AD7"/>
    <w:p w14:paraId="25E81C95" w14:textId="549D53C0" w:rsidR="00F83AD7" w:rsidRPr="00F83AD7" w:rsidRDefault="00F83AD7" w:rsidP="00F83AD7"/>
    <w:p w14:paraId="32A2D281" w14:textId="2B726BF7" w:rsidR="00F83AD7" w:rsidRPr="00F83AD7" w:rsidRDefault="00F83AD7" w:rsidP="00F83AD7"/>
    <w:p w14:paraId="681B7D9C" w14:textId="77777777" w:rsidR="00242037" w:rsidRPr="00F83AD7" w:rsidRDefault="00242037" w:rsidP="00F83AD7"/>
    <w:sectPr w:rsidR="00242037" w:rsidRPr="00F83AD7" w:rsidSect="0008785D">
      <w:footnotePr>
        <w:numRestart w:val="eachSect"/>
      </w:footnotePr>
      <w:endnotePr>
        <w:numRestart w:val="eachSect"/>
      </w:endnotePr>
      <w:pgSz w:w="12240" w:h="15840" w:code="1"/>
      <w:pgMar w:top="1296"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F67F" w14:textId="77777777" w:rsidR="00CA7367" w:rsidRDefault="00CA7367">
      <w:r>
        <w:separator/>
      </w:r>
    </w:p>
    <w:p w14:paraId="50346D15" w14:textId="77777777" w:rsidR="00CA7367" w:rsidRDefault="00CA7367"/>
  </w:endnote>
  <w:endnote w:type="continuationSeparator" w:id="0">
    <w:p w14:paraId="51343C36" w14:textId="77777777" w:rsidR="00CA7367" w:rsidRDefault="00CA7367">
      <w:r>
        <w:continuationSeparator/>
      </w:r>
    </w:p>
    <w:p w14:paraId="5BF6CF70" w14:textId="77777777" w:rsidR="00CA7367" w:rsidRDefault="00CA7367"/>
  </w:endnote>
  <w:endnote w:type="continuationNotice" w:id="1">
    <w:p w14:paraId="39BCF47F" w14:textId="77777777" w:rsidR="00CA7367" w:rsidRDefault="00CA7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_PDF_Subse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5FBD" w14:textId="77777777" w:rsidR="00CA7367" w:rsidRDefault="00CA7367">
    <w:pPr>
      <w:pStyle w:val="Footer"/>
    </w:pPr>
  </w:p>
  <w:p w14:paraId="7271A036" w14:textId="77777777" w:rsidR="00CA7367" w:rsidRDefault="00CA7367">
    <w:pPr>
      <w:pStyle w:val="Footer"/>
    </w:pPr>
  </w:p>
  <w:p w14:paraId="0C1C2D8F" w14:textId="77777777" w:rsidR="00CA7367" w:rsidRDefault="00CA7367">
    <w:pPr>
      <w:pStyle w:val="Footer"/>
    </w:pPr>
  </w:p>
  <w:p w14:paraId="300C76D4" w14:textId="77777777" w:rsidR="00CA7367" w:rsidRDefault="00CA7367">
    <w:pPr>
      <w:pStyle w:val="Footer"/>
    </w:pPr>
  </w:p>
  <w:p w14:paraId="69377F7A" w14:textId="77777777" w:rsidR="00CA7367" w:rsidRDefault="00CA7367">
    <w:pPr>
      <w:pStyle w:val="Footer"/>
    </w:pPr>
  </w:p>
  <w:p w14:paraId="11224AB5" w14:textId="77777777" w:rsidR="00CA7367" w:rsidRDefault="00CA7367">
    <w:pPr>
      <w:pStyle w:val="Footer"/>
    </w:pPr>
    <w:r>
      <w:rPr>
        <w:noProof/>
      </w:rPr>
      <w:drawing>
        <wp:anchor distT="0" distB="0" distL="114300" distR="114300" simplePos="0" relativeHeight="251658243" behindDoc="1" locked="0" layoutInCell="1" allowOverlap="1" wp14:anchorId="2896791E" wp14:editId="2FB12B92">
          <wp:simplePos x="0" y="0"/>
          <wp:positionH relativeFrom="column">
            <wp:posOffset>-6350</wp:posOffset>
          </wp:positionH>
          <wp:positionV relativeFrom="paragraph">
            <wp:posOffset>-453390</wp:posOffset>
          </wp:positionV>
          <wp:extent cx="2387600" cy="2540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387600" cy="2540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4D08" w14:textId="2BE8F361" w:rsidR="00CA7367" w:rsidRDefault="00CA7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1F6F" w14:textId="77777777" w:rsidR="00CA7367" w:rsidRDefault="00CA73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5568" w14:textId="77777777" w:rsidR="00CA7367" w:rsidRDefault="00CA73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D27C" w14:textId="77777777" w:rsidR="00CA7367" w:rsidRDefault="00CA7367">
      <w:r>
        <w:separator/>
      </w:r>
    </w:p>
  </w:footnote>
  <w:footnote w:type="continuationSeparator" w:id="0">
    <w:p w14:paraId="44C94359" w14:textId="77777777" w:rsidR="00CA7367" w:rsidRDefault="00CA7367">
      <w:r>
        <w:continuationSeparator/>
      </w:r>
    </w:p>
  </w:footnote>
  <w:footnote w:type="continuationNotice" w:id="1">
    <w:p w14:paraId="69EECEC7" w14:textId="77777777" w:rsidR="00CA7367" w:rsidRDefault="00CA7367"/>
  </w:footnote>
  <w:footnote w:id="2">
    <w:p w14:paraId="4D38A329" w14:textId="77777777" w:rsidR="00CA7367" w:rsidRPr="005D79CF" w:rsidRDefault="00CA7367" w:rsidP="00265482">
      <w:pPr>
        <w:pStyle w:val="FootnoteText"/>
        <w:ind w:left="180" w:hanging="180"/>
        <w:rPr>
          <w:rFonts w:cs="Arial"/>
          <w:color w:val="000000" w:themeColor="text1"/>
          <w:szCs w:val="18"/>
        </w:rPr>
      </w:pPr>
      <w:r w:rsidRPr="005D79CF">
        <w:rPr>
          <w:rStyle w:val="FootnoteReference"/>
          <w:rFonts w:cs="Arial"/>
          <w:color w:val="000000" w:themeColor="text1"/>
          <w:szCs w:val="18"/>
        </w:rPr>
        <w:footnoteRef/>
      </w:r>
      <w:r w:rsidRPr="005D79CF">
        <w:rPr>
          <w:rFonts w:cs="Arial"/>
          <w:color w:val="000000" w:themeColor="text1"/>
          <w:szCs w:val="18"/>
        </w:rPr>
        <w:tab/>
        <w:t>A</w:t>
      </w:r>
      <w:r>
        <w:rPr>
          <w:rFonts w:cs="Arial"/>
          <w:color w:val="000000" w:themeColor="text1"/>
          <w:szCs w:val="18"/>
        </w:rPr>
        <w:t xml:space="preserve">sian </w:t>
      </w:r>
      <w:r w:rsidRPr="005D79CF">
        <w:rPr>
          <w:rFonts w:cs="Arial"/>
          <w:color w:val="000000" w:themeColor="text1"/>
          <w:szCs w:val="18"/>
        </w:rPr>
        <w:t>D</w:t>
      </w:r>
      <w:r>
        <w:rPr>
          <w:rFonts w:cs="Arial"/>
          <w:color w:val="000000" w:themeColor="text1"/>
          <w:szCs w:val="18"/>
        </w:rPr>
        <w:t>evelopment Bank (ADB)</w:t>
      </w:r>
      <w:r w:rsidRPr="005D79CF">
        <w:rPr>
          <w:rFonts w:cs="Arial"/>
          <w:color w:val="000000" w:themeColor="text1"/>
          <w:szCs w:val="18"/>
        </w:rPr>
        <w:t>. 2020.</w:t>
      </w:r>
      <w:r w:rsidRPr="00740A4F">
        <w:rPr>
          <w:szCs w:val="18"/>
        </w:rPr>
        <w:t xml:space="preserve"> </w:t>
      </w:r>
      <w:r w:rsidRPr="008171E7">
        <w:rPr>
          <w:rFonts w:cs="Arial"/>
          <w:i/>
          <w:iCs/>
          <w:color w:val="000000" w:themeColor="text1"/>
          <w:szCs w:val="18"/>
        </w:rPr>
        <w:t>Policy Paper: ADB’s Comprehensive Response to the COVID-19 Pandemic</w:t>
      </w:r>
      <w:r w:rsidRPr="005D79CF">
        <w:rPr>
          <w:rFonts w:cs="Arial"/>
          <w:color w:val="000000" w:themeColor="text1"/>
          <w:szCs w:val="18"/>
        </w:rPr>
        <w:t>. Manila</w:t>
      </w:r>
      <w:r>
        <w:rPr>
          <w:rFonts w:cs="Arial"/>
          <w:color w:val="000000" w:themeColor="text1"/>
          <w:szCs w:val="18"/>
        </w:rPr>
        <w:t>.</w:t>
      </w:r>
      <w:r w:rsidRPr="005D79CF">
        <w:rPr>
          <w:rFonts w:cs="Arial"/>
          <w:color w:val="000000" w:themeColor="text1"/>
          <w:szCs w:val="18"/>
        </w:rPr>
        <w:t xml:space="preserve">  </w:t>
      </w:r>
    </w:p>
  </w:footnote>
  <w:footnote w:id="3">
    <w:p w14:paraId="1686B57B" w14:textId="71DF8D6A" w:rsidR="00CA7367" w:rsidRDefault="00CA7367" w:rsidP="00D414A5">
      <w:pPr>
        <w:pStyle w:val="FootnoteText"/>
        <w:ind w:left="180" w:hanging="180"/>
      </w:pPr>
      <w:r w:rsidRPr="00646443">
        <w:rPr>
          <w:rStyle w:val="FootnoteReference"/>
        </w:rPr>
        <w:footnoteRef/>
      </w:r>
      <w:r w:rsidRPr="00646443">
        <w:tab/>
        <w:t xml:space="preserve">John Hopkins University. 2020. COVID-19 Dashboard by the Center for Systems Science and Engineering: </w:t>
      </w:r>
      <w:hyperlink r:id="rId1" w:history="1">
        <w:r w:rsidRPr="00646443">
          <w:rPr>
            <w:rStyle w:val="Hyperlink"/>
          </w:rPr>
          <w:t>https://coronavirus.jhu.edu/map.html</w:t>
        </w:r>
      </w:hyperlink>
      <w:r w:rsidRPr="00646443">
        <w:t>.</w:t>
      </w:r>
      <w:r>
        <w:t xml:space="preserve"> Washington D.C. (accessed on 24 April 2020)</w:t>
      </w:r>
    </w:p>
  </w:footnote>
  <w:footnote w:id="4">
    <w:p w14:paraId="0E559080" w14:textId="48310457" w:rsidR="00CA7367" w:rsidRDefault="00CA7367" w:rsidP="003B1B35">
      <w:pPr>
        <w:pStyle w:val="FootnoteText"/>
        <w:ind w:left="180" w:hanging="180"/>
        <w:jc w:val="left"/>
      </w:pPr>
      <w:r>
        <w:rPr>
          <w:rStyle w:val="FootnoteReference"/>
        </w:rPr>
        <w:footnoteRef/>
      </w:r>
      <w:r>
        <w:tab/>
      </w:r>
      <w:r w:rsidRPr="00646443">
        <w:t>National Statistics Office of Georgia. 2020. Demographics:</w:t>
      </w:r>
      <w:r>
        <w:t xml:space="preserve"> </w:t>
      </w:r>
      <w:hyperlink r:id="rId2" w:history="1">
        <w:r w:rsidRPr="00F661C3">
          <w:rPr>
            <w:rStyle w:val="Hyperlink"/>
          </w:rPr>
          <w:t>https://www.geostat.ge/en/modules/categories/316/population-and-demography</w:t>
        </w:r>
      </w:hyperlink>
      <w:r w:rsidRPr="00646443">
        <w:t>. Tbilisi</w:t>
      </w:r>
      <w:r>
        <w:t>.</w:t>
      </w:r>
    </w:p>
  </w:footnote>
  <w:footnote w:id="5">
    <w:p w14:paraId="446E7B13" w14:textId="1CFB583D" w:rsidR="00CA7367" w:rsidRDefault="00CA7367" w:rsidP="003F3AE6">
      <w:pPr>
        <w:pStyle w:val="FootnoteText"/>
        <w:ind w:left="180" w:right="-90" w:hanging="180"/>
      </w:pPr>
      <w:r>
        <w:rPr>
          <w:rStyle w:val="FootnoteReference"/>
        </w:rPr>
        <w:footnoteRef/>
      </w:r>
      <w:r>
        <w:tab/>
        <w:t xml:space="preserve">World Health Organization. 2020. </w:t>
      </w:r>
      <w:hyperlink r:id="rId3" w:history="1">
        <w:r w:rsidRPr="0058497E">
          <w:rPr>
            <w:rStyle w:val="Hyperlink"/>
            <w:i/>
          </w:rPr>
          <w:t>Coronavirus disease (COVID-19) situation reports</w:t>
        </w:r>
      </w:hyperlink>
      <w:r>
        <w:rPr>
          <w:rStyle w:val="Hyperlink"/>
        </w:rPr>
        <w:t>.</w:t>
      </w:r>
      <w:r w:rsidRPr="0058497E">
        <w:rPr>
          <w:rStyle w:val="Hyperlink"/>
          <w:color w:val="000000" w:themeColor="text1"/>
          <w:u w:val="none"/>
        </w:rPr>
        <w:t xml:space="preserve"> Geneva</w:t>
      </w:r>
      <w:r>
        <w:rPr>
          <w:rStyle w:val="Hyperlink"/>
          <w:color w:val="000000" w:themeColor="text1"/>
          <w:u w:val="none"/>
        </w:rPr>
        <w:t>.</w:t>
      </w:r>
    </w:p>
  </w:footnote>
  <w:footnote w:id="6">
    <w:p w14:paraId="5D74536E" w14:textId="23A1AD95" w:rsidR="00CA7367" w:rsidRDefault="00CA7367" w:rsidP="00A06DD2">
      <w:pPr>
        <w:pStyle w:val="FootnoteText"/>
        <w:ind w:left="180" w:hanging="180"/>
      </w:pPr>
      <w:r>
        <w:rPr>
          <w:rStyle w:val="FootnoteReference"/>
        </w:rPr>
        <w:footnoteRef/>
      </w:r>
      <w:r>
        <w:tab/>
        <w:t xml:space="preserve">StopCov.ge. </w:t>
      </w:r>
      <w:hyperlink r:id="rId4" w:history="1">
        <w:r w:rsidRPr="0084511F">
          <w:rPr>
            <w:rStyle w:val="Hyperlink"/>
          </w:rPr>
          <w:t>https://stopcov.ge</w:t>
        </w:r>
      </w:hyperlink>
      <w:r>
        <w:t xml:space="preserve"> (accessed 26 April 2020)</w:t>
      </w:r>
    </w:p>
  </w:footnote>
  <w:footnote w:id="7">
    <w:p w14:paraId="6032A203" w14:textId="09D0505E" w:rsidR="00CA7367" w:rsidRDefault="00CA7367" w:rsidP="00A06DD2">
      <w:pPr>
        <w:pStyle w:val="FootnoteText"/>
        <w:ind w:left="180" w:hanging="180"/>
      </w:pPr>
      <w:r>
        <w:rPr>
          <w:rStyle w:val="FootnoteReference"/>
        </w:rPr>
        <w:footnoteRef/>
      </w:r>
      <w:r>
        <w:tab/>
        <w:t xml:space="preserve">Estimates based on Imperial College London model. </w:t>
      </w:r>
      <w:r w:rsidRPr="004F3D3B">
        <w:rPr>
          <w:szCs w:val="18"/>
        </w:rPr>
        <w:t>Walker, et al</w:t>
      </w:r>
      <w:r>
        <w:rPr>
          <w:szCs w:val="18"/>
        </w:rPr>
        <w:t>.</w:t>
      </w:r>
      <w:r w:rsidRPr="004F3D3B">
        <w:rPr>
          <w:szCs w:val="18"/>
        </w:rPr>
        <w:t xml:space="preserve"> 2020. </w:t>
      </w:r>
      <w:hyperlink r:id="rId5" w:history="1">
        <w:r w:rsidRPr="003F3AE6">
          <w:rPr>
            <w:rStyle w:val="Hyperlink"/>
            <w:i/>
            <w:iCs/>
            <w:szCs w:val="18"/>
          </w:rPr>
          <w:t xml:space="preserve">Global Impact of COVID-19 and </w:t>
        </w:r>
        <w:bookmarkStart w:id="11" w:name="_Hlt39004104"/>
        <w:r w:rsidRPr="003F3AE6">
          <w:rPr>
            <w:rStyle w:val="Hyperlink"/>
            <w:i/>
            <w:iCs/>
            <w:szCs w:val="18"/>
          </w:rPr>
          <w:t>S</w:t>
        </w:r>
        <w:bookmarkEnd w:id="11"/>
        <w:r w:rsidRPr="003F3AE6">
          <w:rPr>
            <w:rStyle w:val="Hyperlink"/>
            <w:i/>
            <w:iCs/>
            <w:szCs w:val="18"/>
          </w:rPr>
          <w:t>trategies for Mitigation and Suppression</w:t>
        </w:r>
      </w:hyperlink>
      <w:r>
        <w:rPr>
          <w:rStyle w:val="Hyperlink"/>
          <w:szCs w:val="18"/>
        </w:rPr>
        <w:t xml:space="preserve">. London. </w:t>
      </w:r>
    </w:p>
  </w:footnote>
  <w:footnote w:id="8">
    <w:p w14:paraId="45DDF9D2" w14:textId="0BF27201" w:rsidR="00CA7367" w:rsidRDefault="00CA7367">
      <w:pPr>
        <w:pStyle w:val="FootnoteText"/>
      </w:pPr>
      <w:r>
        <w:rPr>
          <w:rStyle w:val="FootnoteReference"/>
        </w:rPr>
        <w:footnoteRef/>
      </w:r>
      <w:r>
        <w:t xml:space="preserve">  </w:t>
      </w:r>
      <w:r w:rsidRPr="00DB786D">
        <w:t xml:space="preserve">NCDs account for more than 81.2% of the burden of disease in Georgia and prevalence of risk factors such as </w:t>
      </w:r>
      <w:proofErr w:type="gramStart"/>
      <w:r w:rsidRPr="00DB786D">
        <w:t>smoking</w:t>
      </w:r>
      <w:proofErr w:type="gramEnd"/>
      <w:r w:rsidRPr="00DB786D">
        <w:t xml:space="preserve"> and hypertension is high</w:t>
      </w:r>
      <w:r>
        <w:t>.</w:t>
      </w:r>
    </w:p>
  </w:footnote>
  <w:footnote w:id="9">
    <w:p w14:paraId="72EB75D4" w14:textId="74BEC0AF" w:rsidR="00CA7367" w:rsidRPr="00334FDF" w:rsidRDefault="00CA7367" w:rsidP="00A06DD2">
      <w:pPr>
        <w:pStyle w:val="FootnoteText"/>
        <w:ind w:left="180" w:hanging="180"/>
        <w:rPr>
          <w:lang w:val="en-PH"/>
        </w:rPr>
      </w:pPr>
      <w:r>
        <w:rPr>
          <w:rStyle w:val="FootnoteReference"/>
        </w:rPr>
        <w:footnoteRef/>
      </w:r>
      <w:r>
        <w:tab/>
        <w:t>M</w:t>
      </w:r>
      <w:proofErr w:type="spellStart"/>
      <w:r w:rsidRPr="00334FDF">
        <w:rPr>
          <w:lang w:val="en-PH"/>
        </w:rPr>
        <w:t>inistry</w:t>
      </w:r>
      <w:proofErr w:type="spellEnd"/>
      <w:r w:rsidRPr="00334FDF">
        <w:rPr>
          <w:lang w:val="en-PH"/>
        </w:rPr>
        <w:t xml:space="preserve"> of Internally Displaced Persons from the Occupied Territories, Labor, Health and Social Affairs. 2020</w:t>
      </w:r>
      <w:r w:rsidRPr="00334FDF">
        <w:t>.</w:t>
      </w:r>
      <w:r>
        <w:t xml:space="preserve"> Tbilisi</w:t>
      </w:r>
    </w:p>
  </w:footnote>
  <w:footnote w:id="10">
    <w:p w14:paraId="27A765A0" w14:textId="12915F83" w:rsidR="00CA7367" w:rsidRDefault="00CA7367" w:rsidP="00A06DD2">
      <w:pPr>
        <w:pStyle w:val="FootnoteText"/>
        <w:ind w:left="180" w:hanging="180"/>
      </w:pPr>
      <w:r>
        <w:rPr>
          <w:rStyle w:val="FootnoteReference"/>
        </w:rPr>
        <w:footnoteRef/>
      </w:r>
      <w:r>
        <w:tab/>
        <w:t>The Global Health Security index is a</w:t>
      </w:r>
      <w:r w:rsidRPr="00352A32">
        <w:t xml:space="preserve"> </w:t>
      </w:r>
      <w:r>
        <w:t>comparative</w:t>
      </w:r>
      <w:r w:rsidRPr="00352A32">
        <w:t xml:space="preserve"> assessment of global health security capabilities in 195 countries. </w:t>
      </w:r>
      <w:r>
        <w:t xml:space="preserve"> </w:t>
      </w:r>
      <w:r w:rsidRPr="000C69DB">
        <w:t>The index reflects a</w:t>
      </w:r>
      <w:r>
        <w:t>n average performance across</w:t>
      </w:r>
      <w:r w:rsidRPr="000C69DB">
        <w:t xml:space="preserve"> 34 categories which together indicate the level of readiness of public health systems to handle a biological threat.</w:t>
      </w:r>
    </w:p>
  </w:footnote>
  <w:footnote w:id="11">
    <w:p w14:paraId="20FB463A" w14:textId="148C8016" w:rsidR="00CA7367" w:rsidRDefault="00CA7367" w:rsidP="00A06DD2">
      <w:pPr>
        <w:pStyle w:val="FootnoteText"/>
        <w:ind w:left="180" w:hanging="180"/>
      </w:pPr>
      <w:r>
        <w:rPr>
          <w:rStyle w:val="FootnoteReference"/>
        </w:rPr>
        <w:footnoteRef/>
      </w:r>
      <w:r>
        <w:tab/>
        <w:t xml:space="preserve">The Global Health Security Index 2019.: </w:t>
      </w:r>
      <w:hyperlink r:id="rId6" w:history="1">
        <w:r w:rsidRPr="00D864DC">
          <w:rPr>
            <w:rStyle w:val="Hyperlink"/>
          </w:rPr>
          <w:t>https://www.ghsindex.org/</w:t>
        </w:r>
      </w:hyperlink>
      <w:r>
        <w:t xml:space="preserve"> (accessed 26 April 2020)</w:t>
      </w:r>
    </w:p>
  </w:footnote>
  <w:footnote w:id="12">
    <w:p w14:paraId="37C47A28" w14:textId="769015E3" w:rsidR="00CA7367" w:rsidRDefault="00CA7367" w:rsidP="00A06DD2">
      <w:pPr>
        <w:pStyle w:val="FootnoteText"/>
        <w:ind w:left="180" w:hanging="180"/>
      </w:pPr>
      <w:r>
        <w:rPr>
          <w:rStyle w:val="FootnoteReference"/>
        </w:rPr>
        <w:footnoteRef/>
      </w:r>
      <w:r>
        <w:tab/>
        <w:t xml:space="preserve">Global Health Observatory. Medical doctors. </w:t>
      </w:r>
      <w:hyperlink r:id="rId7" w:history="1">
        <w:r w:rsidRPr="00EC331E">
          <w:rPr>
            <w:rStyle w:val="Hyperlink"/>
          </w:rPr>
          <w:t>https://apps.who.int/gho/data/node.main.HWFGRP_0020?lang=en</w:t>
        </w:r>
      </w:hyperlink>
      <w:r w:rsidRPr="00EC331E">
        <w:t xml:space="preserve"> </w:t>
      </w:r>
      <w:r>
        <w:t>(accessed 26 April 2020).</w:t>
      </w:r>
    </w:p>
  </w:footnote>
  <w:footnote w:id="13">
    <w:p w14:paraId="251C0031" w14:textId="60210ED2" w:rsidR="00CA7367" w:rsidRPr="0058497E" w:rsidRDefault="00CA7367" w:rsidP="00A06DD2">
      <w:pPr>
        <w:pStyle w:val="FootnoteText"/>
        <w:ind w:left="180" w:hanging="180"/>
        <w:rPr>
          <w:highlight w:val="yellow"/>
        </w:rPr>
      </w:pPr>
      <w:r>
        <w:rPr>
          <w:rStyle w:val="FootnoteReference"/>
        </w:rPr>
        <w:footnoteRef/>
      </w:r>
      <w:r w:rsidRPr="00EC331E">
        <w:tab/>
        <w:t xml:space="preserve">Global Health Observatory. Hospital bed density. </w:t>
      </w:r>
      <w:hyperlink r:id="rId8" w:history="1">
        <w:r w:rsidRPr="00EC331E">
          <w:rPr>
            <w:rStyle w:val="Hyperlink"/>
          </w:rPr>
          <w:t>https://apps.who.int/gho/data/node.main.HS07?lang=en</w:t>
        </w:r>
      </w:hyperlink>
      <w:r w:rsidRPr="00EC331E">
        <w:t xml:space="preserve"> </w:t>
      </w:r>
      <w:r>
        <w:t>(a</w:t>
      </w:r>
      <w:r w:rsidRPr="00EC331E">
        <w:t>ccessed 26 April</w:t>
      </w:r>
      <w:r>
        <w:t xml:space="preserve"> 2020).</w:t>
      </w:r>
    </w:p>
  </w:footnote>
  <w:footnote w:id="14">
    <w:p w14:paraId="67D037A7" w14:textId="77777777" w:rsidR="00CA7367" w:rsidRDefault="00CA7367" w:rsidP="00A06DD2">
      <w:pPr>
        <w:pStyle w:val="FootnoteText"/>
        <w:ind w:left="180" w:hanging="180"/>
      </w:pPr>
      <w:r>
        <w:rPr>
          <w:rStyle w:val="FootnoteReference"/>
        </w:rPr>
        <w:footnoteRef/>
      </w:r>
      <w:r>
        <w:tab/>
      </w:r>
      <w:r w:rsidRPr="00D065CF">
        <w:t xml:space="preserve">National Statistics Office of Georgia. 2019. </w:t>
      </w:r>
      <w:r w:rsidRPr="00D065CF">
        <w:rPr>
          <w:i/>
        </w:rPr>
        <w:t>Women and men in Georgia</w:t>
      </w:r>
      <w:r w:rsidRPr="00D065CF">
        <w:t xml:space="preserve">. </w:t>
      </w:r>
    </w:p>
    <w:p w14:paraId="3BCBC150" w14:textId="101B02B4" w:rsidR="00CA7367" w:rsidRDefault="00CA7367" w:rsidP="0055686C">
      <w:pPr>
        <w:pStyle w:val="FootnoteText"/>
        <w:ind w:left="180" w:firstLine="0"/>
      </w:pPr>
      <w:hyperlink r:id="rId9" w:history="1">
        <w:r w:rsidRPr="0064377F">
          <w:rPr>
            <w:rStyle w:val="Hyperlink"/>
          </w:rPr>
          <w:t>https://www.geostat.ge/media/27546/W%26M-ENG_2019.pdf</w:t>
        </w:r>
      </w:hyperlink>
      <w:r>
        <w:t xml:space="preserve"> (accessed 26 April 2020)</w:t>
      </w:r>
    </w:p>
  </w:footnote>
  <w:footnote w:id="15">
    <w:p w14:paraId="45323AF9" w14:textId="77777777" w:rsidR="00CA7367" w:rsidRDefault="00CA7367" w:rsidP="00410338">
      <w:pPr>
        <w:pStyle w:val="FootnoteText"/>
        <w:ind w:left="180" w:hanging="180"/>
      </w:pPr>
      <w:r>
        <w:rPr>
          <w:rStyle w:val="FootnoteReference"/>
        </w:rPr>
        <w:footnoteRef/>
      </w:r>
      <w:r>
        <w:tab/>
        <w:t>The Economic Liberty Act (ELA), adopted in 2011 and effective since 2014, established numerical upper limits for public debt (60% of GDP), the budget balance (3% of GDP), and expenditures (30% of GDP).</w:t>
      </w:r>
      <w:r w:rsidRPr="0081163E">
        <w:t xml:space="preserve"> </w:t>
      </w:r>
      <w:r>
        <w:t>Public debt and budget balance rules have been adhered to since their introduction. The ceiling on expenditures was breached in 2014–2015 but only marginally and this trend has been reversed since.</w:t>
      </w:r>
    </w:p>
  </w:footnote>
  <w:footnote w:id="16">
    <w:p w14:paraId="75C696B2" w14:textId="2A562A7A" w:rsidR="00CA7367" w:rsidRDefault="00CA7367" w:rsidP="00A06DD2">
      <w:pPr>
        <w:pStyle w:val="FootnoteText"/>
        <w:ind w:left="180" w:hanging="180"/>
      </w:pPr>
      <w:r>
        <w:rPr>
          <w:rStyle w:val="FootnoteReference"/>
        </w:rPr>
        <w:footnoteRef/>
      </w:r>
      <w:r>
        <w:tab/>
        <w:t xml:space="preserve">IMF. 2019. </w:t>
      </w:r>
      <w:r w:rsidRPr="00C9374B">
        <w:rPr>
          <w:i/>
          <w:iCs/>
        </w:rPr>
        <w:t>Fifth Review under the Extended Arrangement</w:t>
      </w:r>
      <w:r>
        <w:t xml:space="preserve">, Washington D.C. </w:t>
      </w:r>
    </w:p>
  </w:footnote>
  <w:footnote w:id="17">
    <w:p w14:paraId="3E401FE2" w14:textId="65FE92F4" w:rsidR="00CA7367" w:rsidRDefault="00CA7367" w:rsidP="0090349A">
      <w:pPr>
        <w:pStyle w:val="FootnoteText"/>
        <w:ind w:left="284" w:hanging="284"/>
        <w:jc w:val="left"/>
      </w:pPr>
      <w:r>
        <w:rPr>
          <w:rStyle w:val="FootnoteReference"/>
        </w:rPr>
        <w:footnoteRef/>
      </w:r>
      <w:r>
        <w:tab/>
      </w:r>
      <w:r w:rsidRPr="00611A3D">
        <w:t>Georgian National Tourism Administration</w:t>
      </w:r>
      <w:r>
        <w:t xml:space="preserve">. 2020. Tourism Data. Tbilisi </w:t>
      </w:r>
      <w:hyperlink r:id="rId10" w:history="1">
        <w:r w:rsidRPr="00FA3052">
          <w:rPr>
            <w:rStyle w:val="Hyperlink"/>
          </w:rPr>
          <w:t>https://gnta.ge/statistics/</w:t>
        </w:r>
      </w:hyperlink>
      <w:r>
        <w:t xml:space="preserve"> [accessed 22 April 2020] The tourism sector and inbound tourism expenditure stood at the equivalent of 21.7% of GDP in 2018 according to the UNWTO e-data base </w:t>
      </w:r>
      <w:hyperlink r:id="rId11" w:history="1">
        <w:r w:rsidRPr="00D409D9">
          <w:rPr>
            <w:rStyle w:val="Hyperlink"/>
          </w:rPr>
          <w:t>https://www.e-nwto.org/doi/pdf/10.5555/unwtotfb0268010020142018201911</w:t>
        </w:r>
      </w:hyperlink>
      <w:r>
        <w:t xml:space="preserve"> [accessed on 22 April 2020]</w:t>
      </w:r>
    </w:p>
  </w:footnote>
  <w:footnote w:id="18">
    <w:p w14:paraId="2D76D2AE" w14:textId="070F46F0" w:rsidR="00CA7367" w:rsidRDefault="00CA7367" w:rsidP="0090349A">
      <w:pPr>
        <w:pStyle w:val="FootnoteText"/>
        <w:ind w:left="284" w:hanging="284"/>
      </w:pPr>
      <w:r>
        <w:rPr>
          <w:rStyle w:val="FootnoteReference"/>
        </w:rPr>
        <w:footnoteRef/>
      </w:r>
      <w:r>
        <w:t xml:space="preserve"> </w:t>
      </w:r>
      <w:r>
        <w:tab/>
      </w:r>
      <w:r w:rsidRPr="00086B32">
        <w:t>Georgian Civil Aviation Agency extended flight restrictions to the country till 22 May</w:t>
      </w:r>
    </w:p>
  </w:footnote>
  <w:footnote w:id="19">
    <w:p w14:paraId="3D1407E7" w14:textId="7021179D" w:rsidR="00CA7367" w:rsidRDefault="00CA7367" w:rsidP="0090349A">
      <w:pPr>
        <w:pStyle w:val="FootnoteText"/>
        <w:ind w:left="284" w:hanging="284"/>
      </w:pPr>
      <w:r>
        <w:rPr>
          <w:rStyle w:val="FootnoteReference"/>
        </w:rPr>
        <w:footnoteRef/>
      </w:r>
      <w:r>
        <w:t xml:space="preserve"> </w:t>
      </w:r>
      <w:r>
        <w:tab/>
        <w:t xml:space="preserve">IMF. 2020. </w:t>
      </w:r>
      <w:r w:rsidRPr="0024564D">
        <w:rPr>
          <w:i/>
        </w:rPr>
        <w:t>World Economic Outlook</w:t>
      </w:r>
      <w:r>
        <w:t>. Washington, D.C.</w:t>
      </w:r>
    </w:p>
  </w:footnote>
  <w:footnote w:id="20">
    <w:p w14:paraId="14465444" w14:textId="4093C53E" w:rsidR="00CA7367" w:rsidRDefault="00CA7367" w:rsidP="0090349A">
      <w:pPr>
        <w:pStyle w:val="FootnoteText"/>
        <w:ind w:left="284" w:hanging="284"/>
      </w:pPr>
      <w:r>
        <w:rPr>
          <w:rStyle w:val="FootnoteReference"/>
        </w:rPr>
        <w:footnoteRef/>
      </w:r>
      <w:r>
        <w:t xml:space="preserve"> </w:t>
      </w:r>
      <w:r>
        <w:tab/>
        <w:t>Ministry of Finance and IMF estimates.</w:t>
      </w:r>
    </w:p>
  </w:footnote>
  <w:footnote w:id="21">
    <w:p w14:paraId="7F2D102D" w14:textId="0002A1E3" w:rsidR="00CA7367" w:rsidRDefault="00CA7367" w:rsidP="0090349A">
      <w:pPr>
        <w:pStyle w:val="FootnoteText"/>
        <w:ind w:left="284" w:right="-180" w:hanging="284"/>
        <w:jc w:val="left"/>
      </w:pPr>
      <w:r>
        <w:rPr>
          <w:rStyle w:val="FootnoteReference"/>
        </w:rPr>
        <w:footnoteRef/>
      </w:r>
      <w:r>
        <w:t xml:space="preserve"> </w:t>
      </w:r>
      <w:r>
        <w:tab/>
        <w:t xml:space="preserve">National Bank of Georgia. 2020. </w:t>
      </w:r>
      <w:r w:rsidRPr="00817FE0">
        <w:rPr>
          <w:i/>
          <w:iCs/>
        </w:rPr>
        <w:t>Money Transfers Mapper.</w:t>
      </w:r>
      <w:r>
        <w:rPr>
          <w:i/>
          <w:iCs/>
        </w:rPr>
        <w:t xml:space="preserve"> </w:t>
      </w:r>
      <w:r w:rsidRPr="00817FE0">
        <w:t xml:space="preserve">Tbilisi.  </w:t>
      </w:r>
      <w:hyperlink r:id="rId12" w:history="1">
        <w:r w:rsidRPr="00FA73AD">
          <w:rPr>
            <w:rStyle w:val="Hyperlink"/>
          </w:rPr>
          <w:t>https://analytics.nbg.gov.ge/views/MoneyTransfers/MonayTransfersYoYGrowthRate?iframeSizedToWindow=true&amp;%3Aembed=y&amp;%3AshowAppBanner=false&amp;%3Adisplay_count=no&amp;%3AshowVizHome=no</w:t>
        </w:r>
      </w:hyperlink>
      <w:r>
        <w:t xml:space="preserve"> (accessed 22 April 2020).</w:t>
      </w:r>
    </w:p>
  </w:footnote>
  <w:footnote w:id="22">
    <w:p w14:paraId="45DA1A5F" w14:textId="08CE226C" w:rsidR="00CA7367" w:rsidRDefault="00CA7367" w:rsidP="0090349A">
      <w:pPr>
        <w:pStyle w:val="FootnoteText"/>
        <w:ind w:left="284" w:hanging="284"/>
      </w:pPr>
      <w:r>
        <w:rPr>
          <w:rStyle w:val="FootnoteReference"/>
        </w:rPr>
        <w:footnoteRef/>
      </w:r>
      <w:r>
        <w:tab/>
      </w:r>
      <w:r w:rsidRPr="009370EC">
        <w:t>Spending in transportation, clothing, electronics, and domestic services is projected to decline significantly</w:t>
      </w:r>
      <w:r w:rsidRPr="00461032">
        <w:t>. ISET. 2020.</w:t>
      </w:r>
      <w:r>
        <w:t xml:space="preserve"> </w:t>
      </w:r>
      <w:r w:rsidRPr="00E335B0">
        <w:rPr>
          <w:i/>
          <w:iCs/>
        </w:rPr>
        <w:t>The Economic Response to COVID-19: How is Georgia Handling the Crisis?</w:t>
      </w:r>
      <w:r>
        <w:t>. Tbilisi</w:t>
      </w:r>
    </w:p>
  </w:footnote>
  <w:footnote w:id="23">
    <w:p w14:paraId="1596D004" w14:textId="77777777" w:rsidR="00CA7367" w:rsidRDefault="00CA7367" w:rsidP="0090349A">
      <w:pPr>
        <w:pStyle w:val="FootnoteText"/>
        <w:ind w:left="284" w:hanging="284"/>
      </w:pPr>
      <w:r>
        <w:rPr>
          <w:rStyle w:val="FootnoteReference"/>
        </w:rPr>
        <w:footnoteRef/>
      </w:r>
      <w:r>
        <w:t xml:space="preserve"> </w:t>
      </w:r>
      <w:r>
        <w:tab/>
        <w:t xml:space="preserve">IMF. 2020. </w:t>
      </w:r>
      <w:r w:rsidRPr="00381299">
        <w:rPr>
          <w:i/>
          <w:iCs/>
        </w:rPr>
        <w:t>World Economic Outlook</w:t>
      </w:r>
      <w:r>
        <w:t>. Washington, D.C.</w:t>
      </w:r>
    </w:p>
  </w:footnote>
  <w:footnote w:id="24">
    <w:p w14:paraId="4CA34CB7" w14:textId="5CD83F13" w:rsidR="00CA7367" w:rsidRDefault="00CA7367" w:rsidP="0090349A">
      <w:pPr>
        <w:pStyle w:val="FootnoteText"/>
        <w:ind w:left="284" w:hanging="284"/>
      </w:pPr>
      <w:r>
        <w:rPr>
          <w:rStyle w:val="FootnoteReference"/>
        </w:rPr>
        <w:footnoteRef/>
      </w:r>
      <w:r>
        <w:t xml:space="preserve"> </w:t>
      </w:r>
      <w:r>
        <w:tab/>
        <w:t>The exchange rate depreciated from GEL2.79 per $1 on 18 March 2020 to GEL3.2 per $1, which marks a 12.8% depreciation. The depreciation peaked on 26 March at GEL3.51 per $1 or 20.5% depreciation.</w:t>
      </w:r>
    </w:p>
  </w:footnote>
  <w:footnote w:id="25">
    <w:p w14:paraId="431058E1" w14:textId="6343FA05" w:rsidR="00CA7367" w:rsidRDefault="00CA7367" w:rsidP="0090349A">
      <w:pPr>
        <w:pStyle w:val="FootnoteText"/>
        <w:ind w:left="284" w:hanging="284"/>
      </w:pPr>
      <w:r>
        <w:rPr>
          <w:rStyle w:val="FootnoteReference"/>
        </w:rPr>
        <w:footnoteRef/>
      </w:r>
      <w:r>
        <w:t xml:space="preserve"> </w:t>
      </w:r>
      <w:r>
        <w:tab/>
        <w:t xml:space="preserve">The most affected sector are manufacturing, construction, wholesale and retail trade, and accommodation and food services. </w:t>
      </w:r>
      <w:r w:rsidRPr="0023789D">
        <w:t>ISET. 2020</w:t>
      </w:r>
      <w:r>
        <w:t xml:space="preserve">. </w:t>
      </w:r>
      <w:r w:rsidRPr="00E335B0">
        <w:rPr>
          <w:i/>
          <w:iCs/>
        </w:rPr>
        <w:t>The Economic Response to COVID-19: How is Georgia Handling the Crisis?</w:t>
      </w:r>
      <w:r>
        <w:t>. Tbilisi.</w:t>
      </w:r>
    </w:p>
  </w:footnote>
  <w:footnote w:id="26">
    <w:p w14:paraId="652E7E56" w14:textId="419C94D4" w:rsidR="00CA7367" w:rsidRDefault="00CA7367" w:rsidP="0090349A">
      <w:pPr>
        <w:pStyle w:val="FootnoteText"/>
        <w:ind w:left="284" w:hanging="284"/>
      </w:pPr>
      <w:r>
        <w:rPr>
          <w:rStyle w:val="FootnoteReference"/>
        </w:rPr>
        <w:footnoteRef/>
      </w:r>
      <w:r>
        <w:t xml:space="preserve"> </w:t>
      </w:r>
      <w:r>
        <w:tab/>
      </w:r>
      <w:r w:rsidRPr="00EE62B6">
        <w:t>Recent estimates suggest that 22.5% of Georgia’s formal workforce is at high risk of job loss as a result of COVID-19</w:t>
      </w:r>
      <w:r>
        <w:t xml:space="preserve">. </w:t>
      </w:r>
      <w:r w:rsidRPr="00EE62B6">
        <w:t xml:space="preserve">29.9% of hired workers and 14.0 of self-employed workers are at high risk of job loss amounting to a total of 381,548 jobs. </w:t>
      </w:r>
      <w:r w:rsidRPr="0023789D">
        <w:t>ISET. 2020</w:t>
      </w:r>
      <w:r>
        <w:t xml:space="preserve">. </w:t>
      </w:r>
      <w:r w:rsidRPr="00E335B0">
        <w:rPr>
          <w:i/>
          <w:iCs/>
        </w:rPr>
        <w:t>The Economic Response to COVID-19: How is Georgia Handling the Crisis?</w:t>
      </w:r>
      <w:r>
        <w:t xml:space="preserve"> Tbilisi.</w:t>
      </w:r>
    </w:p>
  </w:footnote>
  <w:footnote w:id="27">
    <w:p w14:paraId="34B0DF8E" w14:textId="200C78EA" w:rsidR="00CA7367" w:rsidRDefault="00CA7367" w:rsidP="0090349A">
      <w:pPr>
        <w:pStyle w:val="FootnoteText"/>
        <w:ind w:left="284" w:hanging="284"/>
      </w:pPr>
      <w:r>
        <w:rPr>
          <w:rStyle w:val="FootnoteReference"/>
        </w:rPr>
        <w:footnoteRef/>
      </w:r>
      <w:r>
        <w:t xml:space="preserve">  </w:t>
      </w:r>
      <w:r>
        <w:tab/>
        <w:t>Among these,</w:t>
      </w:r>
      <w:r w:rsidRPr="00912D3F">
        <w:t xml:space="preserve"> 257,365 are hired employees and 124,183 are self-employed</w:t>
      </w:r>
      <w:r>
        <w:t>.</w:t>
      </w:r>
    </w:p>
  </w:footnote>
  <w:footnote w:id="28">
    <w:p w14:paraId="299E4730" w14:textId="0B96333B" w:rsidR="00CA7367" w:rsidRDefault="00CA7367" w:rsidP="0090349A">
      <w:pPr>
        <w:pStyle w:val="FootnoteText"/>
        <w:ind w:left="284" w:hanging="284"/>
      </w:pPr>
      <w:r>
        <w:rPr>
          <w:rStyle w:val="FootnoteReference"/>
        </w:rPr>
        <w:footnoteRef/>
      </w:r>
      <w:r>
        <w:t xml:space="preserve"> </w:t>
      </w:r>
      <w:r>
        <w:tab/>
      </w:r>
      <w:r w:rsidRPr="00D51902">
        <w:t>Most affected sectors are construction, wholesale and retail trade, and accommodation and food services.</w:t>
      </w:r>
    </w:p>
  </w:footnote>
  <w:footnote w:id="29">
    <w:p w14:paraId="43B197D6" w14:textId="7BF1C4FC" w:rsidR="00CA7367" w:rsidRDefault="00CA7367" w:rsidP="0090349A">
      <w:pPr>
        <w:pStyle w:val="FootnoteText"/>
        <w:ind w:left="284" w:hanging="284"/>
      </w:pPr>
      <w:r>
        <w:rPr>
          <w:rStyle w:val="FootnoteReference"/>
        </w:rPr>
        <w:footnoteRef/>
      </w:r>
      <w:r>
        <w:t xml:space="preserve"> </w:t>
      </w:r>
      <w:r>
        <w:tab/>
        <w:t xml:space="preserve">The share of population under the national poverty line has decreased from 37.3% in 2010 to 20.1% </w:t>
      </w:r>
      <w:r w:rsidRPr="000D24D8">
        <w:t>National Statics Office of Georgia</w:t>
      </w:r>
      <w:r>
        <w:t xml:space="preserve">. 2020. </w:t>
      </w:r>
      <w:hyperlink r:id="rId13" w:history="1">
        <w:r w:rsidRPr="00170650">
          <w:rPr>
            <w:rStyle w:val="Hyperlink"/>
          </w:rPr>
          <w:t>https://www.geostat.ge/en/modules/categories/192/living-conditions</w:t>
        </w:r>
      </w:hyperlink>
      <w:r>
        <w:t xml:space="preserve"> (accessed on 14 April 2020)</w:t>
      </w:r>
    </w:p>
  </w:footnote>
  <w:footnote w:id="30">
    <w:p w14:paraId="362C821D" w14:textId="1C3827B7" w:rsidR="00CA7367" w:rsidRDefault="00CA7367" w:rsidP="0090349A">
      <w:pPr>
        <w:pStyle w:val="FootnoteText"/>
        <w:ind w:left="284" w:hanging="284"/>
      </w:pPr>
      <w:r>
        <w:rPr>
          <w:rStyle w:val="FootnoteReference"/>
        </w:rPr>
        <w:footnoteRef/>
      </w:r>
      <w:r>
        <w:t xml:space="preserve"> </w:t>
      </w:r>
      <w:r>
        <w:tab/>
        <w:t xml:space="preserve">ADB. 2020. </w:t>
      </w:r>
      <w:r w:rsidRPr="00D943F9">
        <w:rPr>
          <w:i/>
          <w:iCs/>
        </w:rPr>
        <w:t>COVID-19 and Poverty: Some Scenarios Based on Grouped Distribution Data on Household Consumption</w:t>
      </w:r>
      <w:r>
        <w:rPr>
          <w:i/>
          <w:iCs/>
        </w:rPr>
        <w:t xml:space="preserve">. </w:t>
      </w:r>
      <w:r w:rsidRPr="00D943F9">
        <w:t>Manila</w:t>
      </w:r>
    </w:p>
  </w:footnote>
  <w:footnote w:id="31">
    <w:p w14:paraId="1E9AE30C" w14:textId="315863AF" w:rsidR="00CA7367" w:rsidRDefault="00CA7367" w:rsidP="0090349A">
      <w:pPr>
        <w:pStyle w:val="FootnoteText"/>
        <w:ind w:left="284" w:hanging="284"/>
      </w:pPr>
      <w:r>
        <w:rPr>
          <w:rStyle w:val="FootnoteReference"/>
        </w:rPr>
        <w:footnoteRef/>
      </w:r>
      <w:r>
        <w:t xml:space="preserve"> </w:t>
      </w:r>
      <w:r>
        <w:tab/>
        <w:t xml:space="preserve">Vulnerability defined as having a </w:t>
      </w:r>
      <w:r w:rsidRPr="00AB3A4F">
        <w:t>having a probability of falling into poverty larger than 10%</w:t>
      </w:r>
      <w:r>
        <w:t>.</w:t>
      </w:r>
    </w:p>
  </w:footnote>
  <w:footnote w:id="32">
    <w:p w14:paraId="0EA47C44" w14:textId="551D7DDF" w:rsidR="00CA7367" w:rsidRDefault="00CA7367" w:rsidP="0090349A">
      <w:pPr>
        <w:pStyle w:val="FootnoteText"/>
        <w:ind w:left="284" w:hanging="284"/>
      </w:pPr>
      <w:r w:rsidRPr="002432BC">
        <w:rPr>
          <w:rStyle w:val="FootnoteReference"/>
        </w:rPr>
        <w:footnoteRef/>
      </w:r>
      <w:r>
        <w:t xml:space="preserve"> </w:t>
      </w:r>
      <w:r>
        <w:tab/>
        <w:t xml:space="preserve">Vulnerability is defined as having a probability of falling into poverty larger than a threshold of 10%. </w:t>
      </w:r>
      <w:r w:rsidRPr="002432BC">
        <w:t xml:space="preserve">World Bank. 2020. </w:t>
      </w:r>
      <w:r w:rsidRPr="00320900">
        <w:rPr>
          <w:i/>
          <w:iCs/>
        </w:rPr>
        <w:t>Georgia COVID 19 Emergency Response.</w:t>
      </w:r>
      <w:r w:rsidRPr="002432BC">
        <w:t xml:space="preserve"> Washington</w:t>
      </w:r>
      <w:r>
        <w:t>,</w:t>
      </w:r>
      <w:r w:rsidRPr="002432BC">
        <w:t xml:space="preserve"> D.C.</w:t>
      </w:r>
    </w:p>
  </w:footnote>
  <w:footnote w:id="33">
    <w:p w14:paraId="6EEEFB2D" w14:textId="56B681F5" w:rsidR="00CA7367" w:rsidRDefault="00CA7367" w:rsidP="0090349A">
      <w:pPr>
        <w:pStyle w:val="FootnoteText"/>
        <w:ind w:left="284" w:hanging="284"/>
      </w:pPr>
      <w:r>
        <w:rPr>
          <w:rStyle w:val="FootnoteReference"/>
        </w:rPr>
        <w:footnoteRef/>
      </w:r>
      <w:r>
        <w:t xml:space="preserve"> </w:t>
      </w:r>
      <w:r>
        <w:tab/>
      </w:r>
      <w:r w:rsidRPr="00626EA9">
        <w:t>An estimated 40% of those whose incomes are estimated to be only marginally above the poverty threshold depend on labor income (wages).</w:t>
      </w:r>
    </w:p>
  </w:footnote>
  <w:footnote w:id="34">
    <w:p w14:paraId="0ABB170F" w14:textId="77777777" w:rsidR="00CA7367" w:rsidRDefault="00CA7367" w:rsidP="006469B8">
      <w:pPr>
        <w:pStyle w:val="FootnoteText"/>
        <w:ind w:left="284" w:hanging="284"/>
      </w:pPr>
      <w:r>
        <w:rPr>
          <w:rStyle w:val="FootnoteReference"/>
        </w:rPr>
        <w:footnoteRef/>
      </w:r>
      <w:r>
        <w:t xml:space="preserve"> </w:t>
      </w:r>
      <w:r>
        <w:tab/>
        <w:t>Informal employment does not show significant discrepancy in the share of women and men.</w:t>
      </w:r>
    </w:p>
  </w:footnote>
  <w:footnote w:id="35">
    <w:p w14:paraId="065DD82F" w14:textId="66FC4E44" w:rsidR="00CA7367" w:rsidRPr="00980FC2" w:rsidRDefault="00CA7367" w:rsidP="0090349A">
      <w:pPr>
        <w:pStyle w:val="FootnoteText"/>
        <w:ind w:left="284" w:hanging="284"/>
        <w:rPr>
          <w:lang w:val="pt-PT"/>
        </w:rPr>
      </w:pPr>
      <w:r>
        <w:rPr>
          <w:rStyle w:val="FootnoteReference"/>
        </w:rPr>
        <w:footnoteRef/>
      </w:r>
      <w:r w:rsidRPr="00980FC2">
        <w:rPr>
          <w:lang w:val="pt-PT"/>
        </w:rPr>
        <w:t xml:space="preserve"> </w:t>
      </w:r>
      <w:r w:rsidRPr="00980FC2">
        <w:rPr>
          <w:lang w:val="pt-PT"/>
        </w:rPr>
        <w:tab/>
        <w:t>Geos</w:t>
      </w:r>
      <w:r>
        <w:rPr>
          <w:lang w:val="pt-PT"/>
        </w:rPr>
        <w:t>tat</w:t>
      </w:r>
      <w:r w:rsidRPr="00980FC2">
        <w:rPr>
          <w:lang w:val="pt-PT"/>
        </w:rPr>
        <w:t xml:space="preserve">: </w:t>
      </w:r>
      <w:r>
        <w:fldChar w:fldCharType="begin"/>
      </w:r>
      <w:r w:rsidRPr="00503569">
        <w:rPr>
          <w:lang w:val="pt-PT"/>
        </w:rPr>
        <w:instrText xml:space="preserve"> HYPERLINK "https://www.geostat.ge/en/modules/categories/38/employment-and-unemployment" </w:instrText>
      </w:r>
      <w:r>
        <w:fldChar w:fldCharType="separate"/>
      </w:r>
      <w:r w:rsidRPr="00980FC2">
        <w:rPr>
          <w:rStyle w:val="Hyperlink"/>
          <w:lang w:val="pt-PT"/>
        </w:rPr>
        <w:t>https://www.geostat.ge/en/modules/categories/38/employment-and-unemployment</w:t>
      </w:r>
      <w:r>
        <w:rPr>
          <w:rStyle w:val="Hyperlink"/>
          <w:lang w:val="pt-PT"/>
        </w:rPr>
        <w:fldChar w:fldCharType="end"/>
      </w:r>
      <w:r w:rsidRPr="00980FC2">
        <w:rPr>
          <w:lang w:val="pt-PT"/>
        </w:rPr>
        <w:t xml:space="preserve"> </w:t>
      </w:r>
    </w:p>
  </w:footnote>
  <w:footnote w:id="36">
    <w:p w14:paraId="312DDAE4" w14:textId="26F50000" w:rsidR="00CA7367" w:rsidRDefault="00CA7367" w:rsidP="0090349A">
      <w:pPr>
        <w:pStyle w:val="FootnoteText"/>
        <w:ind w:left="284" w:hanging="284"/>
      </w:pPr>
      <w:r>
        <w:rPr>
          <w:rStyle w:val="FootnoteReference"/>
        </w:rPr>
        <w:footnoteRef/>
      </w:r>
      <w:r>
        <w:t xml:space="preserve"> </w:t>
      </w:r>
      <w:r>
        <w:tab/>
        <w:t xml:space="preserve">ISET. 2020. </w:t>
      </w:r>
      <w:r w:rsidRPr="00F750FC">
        <w:rPr>
          <w:i/>
          <w:iCs/>
        </w:rPr>
        <w:t>The Social Impacts of COVID-19: Case for</w:t>
      </w:r>
      <w:r>
        <w:rPr>
          <w:i/>
          <w:iCs/>
        </w:rPr>
        <w:t xml:space="preserve"> a</w:t>
      </w:r>
      <w:r w:rsidRPr="00F750FC">
        <w:rPr>
          <w:i/>
          <w:iCs/>
        </w:rPr>
        <w:t xml:space="preserve"> Universal </w:t>
      </w:r>
      <w:r>
        <w:rPr>
          <w:i/>
          <w:iCs/>
        </w:rPr>
        <w:t>Support Scheme</w:t>
      </w:r>
      <w:r w:rsidRPr="00F750FC">
        <w:rPr>
          <w:i/>
          <w:iCs/>
        </w:rPr>
        <w:t>?</w:t>
      </w:r>
      <w:r>
        <w:t xml:space="preserve"> Tbilisi</w:t>
      </w:r>
    </w:p>
  </w:footnote>
  <w:footnote w:id="37">
    <w:p w14:paraId="61CF18AE" w14:textId="200DC829" w:rsidR="00CA7367" w:rsidRDefault="00CA7367" w:rsidP="0090349A">
      <w:pPr>
        <w:pStyle w:val="FootnoteText"/>
        <w:ind w:left="284" w:hanging="284"/>
      </w:pPr>
      <w:r>
        <w:rPr>
          <w:rStyle w:val="FootnoteReference"/>
        </w:rPr>
        <w:footnoteRef/>
      </w:r>
      <w:r>
        <w:t xml:space="preserve">  </w:t>
      </w:r>
      <w:r>
        <w:tab/>
        <w:t xml:space="preserve">National Statistics Office of Georgia: </w:t>
      </w:r>
      <w:hyperlink r:id="rId14" w:history="1">
        <w:r w:rsidRPr="00A4197D">
          <w:rPr>
            <w:rStyle w:val="Hyperlink"/>
          </w:rPr>
          <w:t>https://www.geostat.ge/en/modules/categories/39/wages</w:t>
        </w:r>
      </w:hyperlink>
      <w:r>
        <w:t xml:space="preserve"> </w:t>
      </w:r>
    </w:p>
  </w:footnote>
  <w:footnote w:id="38">
    <w:p w14:paraId="39F05C41" w14:textId="53E8D9A2" w:rsidR="00CA7367" w:rsidRDefault="00CA7367" w:rsidP="0090349A">
      <w:pPr>
        <w:pStyle w:val="FootnoteText"/>
        <w:ind w:left="284" w:hanging="284"/>
      </w:pPr>
      <w:r>
        <w:rPr>
          <w:rStyle w:val="FootnoteReference"/>
        </w:rPr>
        <w:footnoteRef/>
      </w:r>
      <w:r>
        <w:t xml:space="preserve">National Statistics Office of Georgia: </w:t>
      </w:r>
      <w:hyperlink r:id="rId15" w:history="1">
        <w:r w:rsidRPr="00A4197D">
          <w:rPr>
            <w:rStyle w:val="Hyperlink"/>
          </w:rPr>
          <w:t>https://www.geostat.ge/en/modules/categories/38/employment-and-unemployment</w:t>
        </w:r>
      </w:hyperlink>
      <w:r>
        <w:t xml:space="preserve"> </w:t>
      </w:r>
    </w:p>
  </w:footnote>
  <w:footnote w:id="39">
    <w:p w14:paraId="12982AC2" w14:textId="17BDD9CB" w:rsidR="00CA7367" w:rsidRDefault="00CA7367" w:rsidP="0090349A">
      <w:pPr>
        <w:pStyle w:val="FootnoteText"/>
        <w:ind w:left="284" w:hanging="284"/>
      </w:pPr>
      <w:r>
        <w:rPr>
          <w:rStyle w:val="FootnoteReference"/>
        </w:rPr>
        <w:footnoteRef/>
      </w:r>
      <w:r>
        <w:t xml:space="preserve"> </w:t>
      </w:r>
      <w:r>
        <w:tab/>
        <w:t xml:space="preserve">The average salary in Georgia for 2017 was GEL1,069. Women’s average salary in the tourism sector was GEL369. </w:t>
      </w:r>
    </w:p>
  </w:footnote>
  <w:footnote w:id="40">
    <w:p w14:paraId="3EBF64F8" w14:textId="6D8084B3" w:rsidR="00CA7367" w:rsidRDefault="00CA7367" w:rsidP="00B756C3">
      <w:pPr>
        <w:pStyle w:val="FootnoteText"/>
        <w:ind w:left="284" w:hanging="284"/>
      </w:pPr>
      <w:r>
        <w:rPr>
          <w:rStyle w:val="FootnoteReference"/>
        </w:rPr>
        <w:footnoteRef/>
      </w:r>
      <w:r>
        <w:t xml:space="preserve"> </w:t>
      </w:r>
      <w:r>
        <w:tab/>
        <w:t xml:space="preserve">UN Women. 2017. </w:t>
      </w:r>
      <w:r w:rsidRPr="00E35220">
        <w:rPr>
          <w:i/>
          <w:iCs/>
        </w:rPr>
        <w:t>Migration, Remittances and Financial Inclusion: Challenges and Opportunities for Women’s Economic Empowerment</w:t>
      </w:r>
      <w:r>
        <w:t>. New York.</w:t>
      </w:r>
    </w:p>
  </w:footnote>
  <w:footnote w:id="41">
    <w:p w14:paraId="3FCC769E" w14:textId="71CA73F1" w:rsidR="00CA7367" w:rsidRDefault="00CA7367" w:rsidP="00B756C3">
      <w:pPr>
        <w:pStyle w:val="FootnoteText"/>
        <w:ind w:left="284" w:hanging="284"/>
      </w:pPr>
      <w:r>
        <w:rPr>
          <w:rStyle w:val="FootnoteReference"/>
        </w:rPr>
        <w:footnoteRef/>
      </w:r>
      <w:r>
        <w:t xml:space="preserve"> </w:t>
      </w:r>
      <w:r>
        <w:tab/>
        <w:t xml:space="preserve">Government of Georgia. 2020. </w:t>
      </w:r>
      <w:r w:rsidRPr="00B4575B">
        <w:rPr>
          <w:i/>
          <w:iCs/>
        </w:rPr>
        <w:t>Ordinance 181: On the Approval of Measures to be Implemented in connection with the Spread of the Novel Coronavirus (COVID19) in Georgia</w:t>
      </w:r>
      <w:r>
        <w:t>, Tbilisi.</w:t>
      </w:r>
    </w:p>
  </w:footnote>
  <w:footnote w:id="42">
    <w:p w14:paraId="44E3C4A7" w14:textId="077EE2FC" w:rsidR="00CA7367" w:rsidRDefault="00CA7367" w:rsidP="00B756C3">
      <w:pPr>
        <w:pStyle w:val="FootnoteText"/>
        <w:ind w:left="284" w:hanging="284"/>
      </w:pPr>
      <w:r>
        <w:rPr>
          <w:rStyle w:val="FootnoteReference"/>
        </w:rPr>
        <w:footnoteRef/>
      </w:r>
      <w:r>
        <w:t xml:space="preserve"> </w:t>
      </w:r>
      <w:r>
        <w:tab/>
        <w:t xml:space="preserve">IMF. 2019. </w:t>
      </w:r>
      <w:r w:rsidRPr="00C9374B">
        <w:rPr>
          <w:i/>
          <w:iCs/>
        </w:rPr>
        <w:t>Fifth Review under the Extended Arrangement</w:t>
      </w:r>
      <w:r>
        <w:t>, Washington D.C.</w:t>
      </w:r>
    </w:p>
  </w:footnote>
  <w:footnote w:id="43">
    <w:p w14:paraId="13CB3195" w14:textId="5F35D898" w:rsidR="00CA7367" w:rsidRPr="00620F7B" w:rsidRDefault="00CA7367" w:rsidP="00B756C3">
      <w:pPr>
        <w:pStyle w:val="FootnoteText"/>
        <w:ind w:left="284" w:hanging="284"/>
      </w:pPr>
      <w:r w:rsidRPr="00326E74">
        <w:rPr>
          <w:rStyle w:val="FootnoteReference"/>
        </w:rPr>
        <w:footnoteRef/>
      </w:r>
      <w:r w:rsidRPr="00326E74">
        <w:t xml:space="preserve"> </w:t>
      </w:r>
      <w:r>
        <w:tab/>
      </w:r>
      <w:proofErr w:type="spellStart"/>
      <w:r w:rsidRPr="00326E74">
        <w:t>MoILHSA</w:t>
      </w:r>
      <w:proofErr w:type="spellEnd"/>
      <w:r w:rsidRPr="00326E74">
        <w:t>.</w:t>
      </w:r>
      <w:r>
        <w:t xml:space="preserve"> 2020</w:t>
      </w:r>
      <w:r w:rsidRPr="00554EBF">
        <w:t xml:space="preserve">,  </w:t>
      </w:r>
      <w:hyperlink r:id="rId16" w:history="1">
        <w:r w:rsidRPr="00554EBF">
          <w:rPr>
            <w:rStyle w:val="Hyperlink"/>
            <w:i/>
            <w:iCs/>
            <w:color w:val="auto"/>
          </w:rPr>
          <w:t>I</w:t>
        </w:r>
        <w:r w:rsidRPr="00554EBF">
          <w:rPr>
            <w:rStyle w:val="Hyperlink"/>
            <w:i/>
            <w:iCs/>
            <w:color w:val="auto"/>
            <w:u w:val="none"/>
          </w:rPr>
          <w:t xml:space="preserve">nnovative STOP COVID App Aimed at Early Detection and Prevention of COVID-19Created at the Ministry. </w:t>
        </w:r>
        <w:r w:rsidRPr="00554EBF">
          <w:rPr>
            <w:rStyle w:val="Hyperlink"/>
            <w:color w:val="auto"/>
            <w:u w:val="none"/>
          </w:rPr>
          <w:t>Tbilisi</w:t>
        </w:r>
        <w:r w:rsidRPr="00554EBF">
          <w:rPr>
            <w:rStyle w:val="Hyperlink"/>
            <w:i/>
            <w:iCs/>
          </w:rPr>
          <w:t xml:space="preserve"> </w:t>
        </w:r>
      </w:hyperlink>
      <w:r w:rsidRPr="00620F7B">
        <w:t xml:space="preserve"> (accessed on 26 April 2020).</w:t>
      </w:r>
    </w:p>
  </w:footnote>
  <w:footnote w:id="44">
    <w:p w14:paraId="6B72C784" w14:textId="267B5640" w:rsidR="00CA7367" w:rsidRDefault="00CA7367" w:rsidP="005041C2">
      <w:pPr>
        <w:pStyle w:val="FootnoteText"/>
        <w:ind w:left="284" w:hanging="284"/>
      </w:pPr>
      <w:r>
        <w:rPr>
          <w:rStyle w:val="FootnoteReference"/>
        </w:rPr>
        <w:footnoteRef/>
      </w:r>
      <w:r>
        <w:t xml:space="preserve"> </w:t>
      </w:r>
      <w:r>
        <w:tab/>
      </w:r>
      <w:r w:rsidRPr="004A458D">
        <w:t>Government is fully financing COVID-19 related treatment costs, provision of equipment, drugs and medical supplies. Government is also providing support case management for non-severe cases in non-medical settings</w:t>
      </w:r>
    </w:p>
  </w:footnote>
  <w:footnote w:id="45">
    <w:p w14:paraId="7A9745E9" w14:textId="64A89191" w:rsidR="00CA7367" w:rsidRDefault="00CA7367" w:rsidP="005041C2">
      <w:pPr>
        <w:pStyle w:val="FootnoteText"/>
        <w:ind w:left="284" w:hanging="284"/>
      </w:pPr>
      <w:r>
        <w:rPr>
          <w:rStyle w:val="FootnoteReference"/>
        </w:rPr>
        <w:footnoteRef/>
      </w:r>
      <w:r>
        <w:t xml:space="preserve"> </w:t>
      </w:r>
      <w:r>
        <w:tab/>
        <w:t xml:space="preserve">OECD. 2019. </w:t>
      </w:r>
      <w:r w:rsidRPr="00916DCE">
        <w:rPr>
          <w:i/>
          <w:iCs/>
        </w:rPr>
        <w:t>Monitoring Georgia’s SME Development Strategy</w:t>
      </w:r>
      <w:r>
        <w:t xml:space="preserve"> 2016-2020. Paris</w:t>
      </w:r>
    </w:p>
  </w:footnote>
  <w:footnote w:id="46">
    <w:p w14:paraId="7CDD5F45" w14:textId="31E549FC" w:rsidR="00CA7367" w:rsidRDefault="00CA7367" w:rsidP="005041C2">
      <w:pPr>
        <w:pStyle w:val="FootnoteText"/>
        <w:ind w:left="284" w:hanging="284"/>
      </w:pPr>
      <w:r>
        <w:rPr>
          <w:rStyle w:val="FootnoteReference"/>
        </w:rPr>
        <w:footnoteRef/>
      </w:r>
      <w:r>
        <w:t xml:space="preserve"> </w:t>
      </w:r>
      <w:r>
        <w:tab/>
        <w:t xml:space="preserve">Changes made to the terms of the “Produce in Georgia” program include: (i) </w:t>
      </w:r>
      <w:r w:rsidRPr="00154C8D">
        <w:t>increasing period of co-financing of loans/leasing from 24 months to 36 months; changing the mechanism of interest co-financing; more types of activities; lowering the minimum threshold for loans/leasing; increasing funding for working capital;</w:t>
      </w:r>
    </w:p>
  </w:footnote>
  <w:footnote w:id="47">
    <w:p w14:paraId="32197349" w14:textId="44540803" w:rsidR="00CA7367" w:rsidRDefault="00CA7367" w:rsidP="005041C2">
      <w:pPr>
        <w:pStyle w:val="FootnoteText"/>
        <w:ind w:left="284" w:hanging="284"/>
      </w:pPr>
      <w:r>
        <w:rPr>
          <w:rStyle w:val="FootnoteReference"/>
        </w:rPr>
        <w:footnoteRef/>
      </w:r>
      <w:r>
        <w:t xml:space="preserve"> </w:t>
      </w:r>
      <w:r>
        <w:tab/>
        <w:t xml:space="preserve">Maximum size of a single grant is set at GEL30,000. </w:t>
      </w:r>
    </w:p>
  </w:footnote>
  <w:footnote w:id="48">
    <w:p w14:paraId="58309968" w14:textId="66C42F28" w:rsidR="00CA7367" w:rsidRDefault="00CA7367" w:rsidP="005041C2">
      <w:pPr>
        <w:pStyle w:val="FootnoteText"/>
        <w:ind w:left="284" w:hanging="284"/>
      </w:pPr>
      <w:r>
        <w:rPr>
          <w:rStyle w:val="FootnoteReference"/>
        </w:rPr>
        <w:footnoteRef/>
      </w:r>
      <w:r>
        <w:t xml:space="preserve"> </w:t>
      </w:r>
      <w:r>
        <w:tab/>
        <w:t xml:space="preserve">Hotels with up to 50 rooms. </w:t>
      </w:r>
    </w:p>
  </w:footnote>
  <w:footnote w:id="49">
    <w:p w14:paraId="0C1F3F90" w14:textId="0F520A18" w:rsidR="00CA7367" w:rsidRDefault="00CA7367" w:rsidP="005041C2">
      <w:pPr>
        <w:pStyle w:val="FootnoteText"/>
        <w:ind w:left="284" w:hanging="284"/>
      </w:pPr>
      <w:r>
        <w:rPr>
          <w:rStyle w:val="FootnoteReference"/>
        </w:rPr>
        <w:footnoteRef/>
      </w:r>
      <w:r>
        <w:t xml:space="preserve"> </w:t>
      </w:r>
      <w:r>
        <w:tab/>
        <w:t xml:space="preserve">National Statistics Office of Georgia. 2018. </w:t>
      </w:r>
      <w:proofErr w:type="spellStart"/>
      <w:r w:rsidRPr="004B78C6">
        <w:rPr>
          <w:i/>
          <w:iCs/>
        </w:rPr>
        <w:t>Labour</w:t>
      </w:r>
      <w:proofErr w:type="spellEnd"/>
      <w:r w:rsidRPr="004B78C6">
        <w:rPr>
          <w:i/>
          <w:iCs/>
        </w:rPr>
        <w:t xml:space="preserve"> Force Survey</w:t>
      </w:r>
      <w:r>
        <w:t>. Tbilisi</w:t>
      </w:r>
    </w:p>
  </w:footnote>
  <w:footnote w:id="50">
    <w:p w14:paraId="0EE288BB" w14:textId="5959F829" w:rsidR="00CA7367" w:rsidRDefault="00CA7367" w:rsidP="003E7EAD">
      <w:pPr>
        <w:pStyle w:val="FootnoteText"/>
        <w:ind w:left="284" w:hanging="284"/>
      </w:pPr>
      <w:r>
        <w:rPr>
          <w:rStyle w:val="FootnoteReference"/>
        </w:rPr>
        <w:footnoteRef/>
      </w:r>
      <w:r>
        <w:t xml:space="preserve"> </w:t>
      </w:r>
      <w:r>
        <w:tab/>
        <w:t xml:space="preserve">Ministry of Economy and Sustainable Development. 2017. </w:t>
      </w:r>
      <w:proofErr w:type="spellStart"/>
      <w:r w:rsidRPr="00283FD8">
        <w:rPr>
          <w:i/>
          <w:iCs/>
        </w:rPr>
        <w:t>Labour</w:t>
      </w:r>
      <w:proofErr w:type="spellEnd"/>
      <w:r w:rsidRPr="00283FD8">
        <w:rPr>
          <w:i/>
          <w:iCs/>
        </w:rPr>
        <w:t xml:space="preserve"> Market Analysis of Georgia</w:t>
      </w:r>
      <w:r>
        <w:t>. Tbilisi</w:t>
      </w:r>
    </w:p>
  </w:footnote>
  <w:footnote w:id="51">
    <w:p w14:paraId="0629290B" w14:textId="6B9214A2" w:rsidR="00CA7367" w:rsidRDefault="00CA7367" w:rsidP="005041C2">
      <w:pPr>
        <w:pStyle w:val="FootnoteText"/>
        <w:ind w:left="284" w:hanging="284"/>
      </w:pPr>
      <w:r>
        <w:rPr>
          <w:rStyle w:val="FootnoteReference"/>
        </w:rPr>
        <w:footnoteRef/>
      </w:r>
      <w:r>
        <w:t xml:space="preserve"> </w:t>
      </w:r>
      <w:r>
        <w:tab/>
        <w:t xml:space="preserve">An estimated 1.3 million Georgians (roughly 35% of the population) are either moderately or severely food insecure. </w:t>
      </w:r>
    </w:p>
  </w:footnote>
  <w:footnote w:id="52">
    <w:p w14:paraId="2054FD0F" w14:textId="5E2E7F97" w:rsidR="00CA7367" w:rsidRDefault="00CA7367" w:rsidP="005041C2">
      <w:pPr>
        <w:pStyle w:val="FootnoteText"/>
        <w:ind w:left="284" w:hanging="284"/>
      </w:pPr>
      <w:r>
        <w:rPr>
          <w:rStyle w:val="FootnoteReference"/>
        </w:rPr>
        <w:footnoteRef/>
      </w:r>
      <w:r>
        <w:t xml:space="preserve"> </w:t>
      </w:r>
      <w:r>
        <w:tab/>
        <w:t xml:space="preserve">FAO. 2019. </w:t>
      </w:r>
      <w:r w:rsidRPr="006932D7">
        <w:rPr>
          <w:i/>
          <w:iCs/>
        </w:rPr>
        <w:t>The State of Food Security and Nutrition in the World</w:t>
      </w:r>
      <w:r>
        <w:rPr>
          <w:i/>
          <w:iCs/>
        </w:rPr>
        <w:t>:</w:t>
      </w:r>
      <w:r w:rsidRPr="006932D7">
        <w:rPr>
          <w:i/>
          <w:iCs/>
        </w:rPr>
        <w:t xml:space="preserve"> Safeguarding against economic slowdowns and downturns</w:t>
      </w:r>
      <w:r>
        <w:t>. Rome</w:t>
      </w:r>
    </w:p>
  </w:footnote>
  <w:footnote w:id="53">
    <w:p w14:paraId="12C25588" w14:textId="38E19DB2" w:rsidR="00CA7367" w:rsidRDefault="00CA7367" w:rsidP="005041C2">
      <w:pPr>
        <w:pStyle w:val="FootnoteText"/>
        <w:ind w:left="284" w:hanging="284"/>
      </w:pPr>
      <w:r>
        <w:rPr>
          <w:rStyle w:val="FootnoteReference"/>
        </w:rPr>
        <w:footnoteRef/>
      </w:r>
      <w:r>
        <w:t xml:space="preserve"> </w:t>
      </w:r>
      <w:r>
        <w:tab/>
        <w:t xml:space="preserve">Applies only to loans </w:t>
      </w:r>
      <w:r w:rsidRPr="005B25F8">
        <w:t xml:space="preserve">obtained by firms through the </w:t>
      </w:r>
      <w:proofErr w:type="spellStart"/>
      <w:r w:rsidRPr="005B25F8">
        <w:t>Agrocredit</w:t>
      </w:r>
      <w:proofErr w:type="spellEnd"/>
      <w:r w:rsidRPr="005B25F8">
        <w:t xml:space="preserve"> project</w:t>
      </w:r>
    </w:p>
  </w:footnote>
  <w:footnote w:id="54">
    <w:p w14:paraId="1A032A48" w14:textId="038FD403" w:rsidR="00CA7367" w:rsidRDefault="00CA7367" w:rsidP="00182179">
      <w:pPr>
        <w:pStyle w:val="FootnoteText"/>
        <w:ind w:left="180" w:hanging="180"/>
      </w:pPr>
      <w:r>
        <w:rPr>
          <w:rStyle w:val="FootnoteReference"/>
        </w:rPr>
        <w:footnoteRef/>
      </w:r>
      <w:r>
        <w:t xml:space="preserve"> </w:t>
      </w:r>
      <w:r w:rsidRPr="004731B0">
        <w:t xml:space="preserve">A total of 381,548 jobs—of which 257,365 employees and 124,183 self-employed—are at high risk of job loss as a result of the COVID-19 crisis. Most affected sectors are construction, manufacturing, trade, and tourism. Besides, 23% of the population, or 45% of the total work force, is working in the informal sector, and at high risk of loss of income. The majority of the self-employed are working in the agriculture sector. While this sector is expected to be only moderately affected, the impact on the self-employed will still be substantial, given their low earnings, putting them at risk of falling into poverty. </w:t>
      </w:r>
      <w:r>
        <w:t xml:space="preserve">ISET. 2020. </w:t>
      </w:r>
      <w:r w:rsidRPr="00C32A72">
        <w:rPr>
          <w:i/>
          <w:iCs/>
        </w:rPr>
        <w:t>The Social Impacts of COVID-19</w:t>
      </w:r>
      <w:r>
        <w:t>. Tbilisi.</w:t>
      </w:r>
    </w:p>
  </w:footnote>
  <w:footnote w:id="55">
    <w:p w14:paraId="169C4989" w14:textId="4160824E" w:rsidR="00CA7367" w:rsidRDefault="00CA7367" w:rsidP="00920BD7">
      <w:pPr>
        <w:pStyle w:val="FootnoteText"/>
        <w:tabs>
          <w:tab w:val="left" w:pos="90"/>
        </w:tabs>
        <w:ind w:left="180" w:hanging="180"/>
      </w:pPr>
      <w:r>
        <w:rPr>
          <w:rStyle w:val="FootnoteReference"/>
        </w:rPr>
        <w:footnoteRef/>
      </w:r>
      <w:r>
        <w:t xml:space="preserve"> </w:t>
      </w:r>
      <w:proofErr w:type="spellStart"/>
      <w:r>
        <w:t>S</w:t>
      </w:r>
      <w:r w:rsidRPr="00FB6318">
        <w:t>imoes</w:t>
      </w:r>
      <w:proofErr w:type="spellEnd"/>
      <w:r>
        <w:t xml:space="preserve"> and </w:t>
      </w:r>
      <w:r w:rsidRPr="00FB6318">
        <w:t xml:space="preserve">Hidalgo. </w:t>
      </w:r>
      <w:r>
        <w:t xml:space="preserve">2020. </w:t>
      </w:r>
      <w:r w:rsidRPr="00FB6318">
        <w:t>The Economic Complexity Observatory: An Analytical Tool for Understanding the Dynamics of Economic Development.</w:t>
      </w:r>
      <w:r>
        <w:t xml:space="preserve"> Michigan.  (accessed 26 April 2020)</w:t>
      </w:r>
    </w:p>
  </w:footnote>
  <w:footnote w:id="56">
    <w:p w14:paraId="01CF3CAC" w14:textId="2E73C85F" w:rsidR="00CA7367" w:rsidRDefault="00CA7367" w:rsidP="00920BD7">
      <w:pPr>
        <w:pStyle w:val="FootnoteText"/>
        <w:tabs>
          <w:tab w:val="left" w:pos="90"/>
        </w:tabs>
        <w:ind w:left="180" w:hanging="180"/>
      </w:pPr>
      <w:r>
        <w:rPr>
          <w:rStyle w:val="FootnoteReference"/>
        </w:rPr>
        <w:footnoteRef/>
      </w:r>
      <w:r>
        <w:t xml:space="preserve"> </w:t>
      </w:r>
      <w:r w:rsidRPr="003F60C3">
        <w:t xml:space="preserve">P. </w:t>
      </w:r>
      <w:proofErr w:type="spellStart"/>
      <w:r w:rsidRPr="003F60C3">
        <w:t>Mamardashvili</w:t>
      </w:r>
      <w:proofErr w:type="spellEnd"/>
      <w:r w:rsidRPr="003F60C3">
        <w:t xml:space="preserve"> et al. 2020. </w:t>
      </w:r>
      <w:r w:rsidRPr="0023789D">
        <w:rPr>
          <w:i/>
        </w:rPr>
        <w:t>How Does Covid-19 Affect the Food Supply Chain in Georgia?</w:t>
      </w:r>
      <w:r w:rsidRPr="003F60C3">
        <w:t xml:space="preserve"> Tbilisi.</w:t>
      </w:r>
    </w:p>
  </w:footnote>
  <w:footnote w:id="57">
    <w:p w14:paraId="13BDA4DA" w14:textId="2ADABCC7" w:rsidR="00CA7367" w:rsidRDefault="00CA7367" w:rsidP="00920BD7">
      <w:pPr>
        <w:pStyle w:val="FootnoteText"/>
        <w:tabs>
          <w:tab w:val="left" w:pos="90"/>
        </w:tabs>
        <w:ind w:left="180" w:hanging="180"/>
      </w:pPr>
      <w:r>
        <w:rPr>
          <w:rStyle w:val="FootnoteReference"/>
        </w:rPr>
        <w:footnoteRef/>
      </w:r>
      <w:r>
        <w:t xml:space="preserve"> Based on </w:t>
      </w:r>
      <w:proofErr w:type="spellStart"/>
      <w:r>
        <w:t>GeoStat</w:t>
      </w:r>
      <w:proofErr w:type="spellEnd"/>
      <w:r>
        <w:t xml:space="preserve"> 2018 data, Georgia has a self-sufficiency ratio (domestic production/imports) in wheat of 15%, maize 71%, potatoes 102%, vegetables 59%, meat 52%, milk and milk products 81%, and eggs 99%. </w:t>
      </w:r>
      <w:hyperlink r:id="rId17" w:history="1">
        <w:r w:rsidRPr="00FA3052">
          <w:rPr>
            <w:rStyle w:val="Hyperlink"/>
          </w:rPr>
          <w:t>https://www.geostat.ge/en/modules/categories/297/food-security</w:t>
        </w:r>
      </w:hyperlink>
      <w:r>
        <w:t xml:space="preserve"> (accessed 26 April 2020)</w:t>
      </w:r>
    </w:p>
  </w:footnote>
  <w:footnote w:id="58">
    <w:p w14:paraId="7D7316A4" w14:textId="2488F716" w:rsidR="00CA7367" w:rsidRDefault="00CA7367" w:rsidP="00920BD7">
      <w:pPr>
        <w:pStyle w:val="FootnoteText"/>
        <w:tabs>
          <w:tab w:val="left" w:pos="90"/>
        </w:tabs>
        <w:ind w:left="180" w:hanging="180"/>
      </w:pPr>
      <w:r>
        <w:rPr>
          <w:rStyle w:val="FootnoteReference"/>
        </w:rPr>
        <w:footnoteRef/>
      </w:r>
      <w:r>
        <w:t xml:space="preserve"> MEPA. 2020. </w:t>
      </w:r>
      <w:r w:rsidRPr="001865B9">
        <w:rPr>
          <w:i/>
        </w:rPr>
        <w:t>News release</w:t>
      </w:r>
      <w:r>
        <w:rPr>
          <w:i/>
          <w:iCs/>
        </w:rPr>
        <w:t xml:space="preserve"> 24 April 2020</w:t>
      </w:r>
      <w:r w:rsidRPr="001865B9">
        <w:rPr>
          <w:i/>
        </w:rPr>
        <w:t>: The Ministry of Environmental Protection and Agriculture of Georgia is taking complex measures to reduce economic damage in the agricultural production.</w:t>
      </w:r>
      <w:r>
        <w:t xml:space="preserve"> Tbilisi.</w:t>
      </w:r>
    </w:p>
  </w:footnote>
  <w:footnote w:id="59">
    <w:p w14:paraId="5002A1BC" w14:textId="357BC3D6" w:rsidR="00CA7367" w:rsidRPr="000A6FBD" w:rsidRDefault="00CA7367" w:rsidP="00920BD7">
      <w:pPr>
        <w:pStyle w:val="FootnoteText"/>
        <w:tabs>
          <w:tab w:val="left" w:pos="90"/>
        </w:tabs>
        <w:ind w:left="180" w:hanging="180"/>
      </w:pPr>
      <w:r>
        <w:rPr>
          <w:rStyle w:val="FootnoteReference"/>
        </w:rPr>
        <w:footnoteRef/>
      </w:r>
      <w:r>
        <w:t xml:space="preserve"> Food categories covered are rice, pasta, buckwheat, vegetable oil, sugar, wheat, wheat flour, milk powder, and beans. P. </w:t>
      </w:r>
      <w:proofErr w:type="spellStart"/>
      <w:r w:rsidRPr="00B44EB1">
        <w:t>Mamardashvili</w:t>
      </w:r>
      <w:proofErr w:type="spellEnd"/>
      <w:r>
        <w:t xml:space="preserve"> et al. 2020. </w:t>
      </w:r>
      <w:r w:rsidRPr="001865B9">
        <w:rPr>
          <w:i/>
        </w:rPr>
        <w:t>How Does Covid-19 Affect the Food Supply Chain in Georgia?</w:t>
      </w:r>
      <w:r>
        <w:rPr>
          <w:i/>
          <w:iCs/>
        </w:rPr>
        <w:t xml:space="preserve"> </w:t>
      </w:r>
      <w:r>
        <w:t>Tbilisi.</w:t>
      </w:r>
    </w:p>
  </w:footnote>
  <w:footnote w:id="60">
    <w:p w14:paraId="6E2BDE80" w14:textId="742CDB08" w:rsidR="00CA7367" w:rsidRDefault="00CA7367" w:rsidP="00920BD7">
      <w:pPr>
        <w:pStyle w:val="FootnoteText"/>
        <w:tabs>
          <w:tab w:val="left" w:pos="90"/>
        </w:tabs>
        <w:ind w:left="180" w:hanging="180"/>
      </w:pPr>
      <w:r>
        <w:rPr>
          <w:rStyle w:val="FootnoteReference"/>
        </w:rPr>
        <w:footnoteRef/>
      </w:r>
      <w:r>
        <w:t xml:space="preserve"> </w:t>
      </w:r>
      <w:r w:rsidRPr="00636B3C">
        <w:t xml:space="preserve">The </w:t>
      </w:r>
      <w:r>
        <w:t xml:space="preserve">government </w:t>
      </w:r>
      <w:r w:rsidRPr="00636B3C">
        <w:t xml:space="preserve">will fully finance the interest rate for </w:t>
      </w:r>
      <w:r>
        <w:t>6</w:t>
      </w:r>
      <w:r w:rsidRPr="00636B3C">
        <w:t xml:space="preserve"> months</w:t>
      </w:r>
      <w:r>
        <w:t>.</w:t>
      </w:r>
    </w:p>
  </w:footnote>
  <w:footnote w:id="61">
    <w:p w14:paraId="234580BD" w14:textId="7C8E416C" w:rsidR="00CA7367" w:rsidRDefault="00CA7367" w:rsidP="00920BD7">
      <w:pPr>
        <w:pStyle w:val="FootnoteText"/>
        <w:tabs>
          <w:tab w:val="left" w:pos="90"/>
        </w:tabs>
        <w:ind w:left="180" w:hanging="180"/>
      </w:pPr>
      <w:r>
        <w:rPr>
          <w:rStyle w:val="FootnoteReference"/>
        </w:rPr>
        <w:footnoteRef/>
      </w:r>
      <w:r>
        <w:t xml:space="preserve"> The subcomponent will finance up to GEL25 million.</w:t>
      </w:r>
    </w:p>
  </w:footnote>
  <w:footnote w:id="62">
    <w:p w14:paraId="6AC464C5" w14:textId="762B5347" w:rsidR="00CA7367" w:rsidRDefault="00CA7367" w:rsidP="00920BD7">
      <w:pPr>
        <w:pStyle w:val="FootnoteText"/>
        <w:tabs>
          <w:tab w:val="left" w:pos="90"/>
        </w:tabs>
        <w:ind w:left="180" w:hanging="180"/>
      </w:pPr>
      <w:r>
        <w:rPr>
          <w:rStyle w:val="FootnoteReference"/>
        </w:rPr>
        <w:footnoteRef/>
      </w:r>
      <w:r>
        <w:tab/>
        <w:t>The program will benefit 60 dairy farmers</w:t>
      </w:r>
      <w:r w:rsidRPr="00B24C6C">
        <w:t xml:space="preserve"> </w:t>
      </w:r>
      <w:r>
        <w:t>and is financed by the International Fund for Agricultural Development.</w:t>
      </w:r>
    </w:p>
  </w:footnote>
  <w:footnote w:id="63">
    <w:p w14:paraId="76ACC993" w14:textId="4AC343C9" w:rsidR="00CA7367" w:rsidRDefault="00CA7367" w:rsidP="00920BD7">
      <w:pPr>
        <w:pStyle w:val="FootnoteText"/>
        <w:tabs>
          <w:tab w:val="left" w:pos="90"/>
        </w:tabs>
        <w:ind w:left="180" w:hanging="180"/>
      </w:pPr>
      <w:r>
        <w:rPr>
          <w:rStyle w:val="FootnoteReference"/>
        </w:rPr>
        <w:footnoteRef/>
      </w:r>
      <w:r>
        <w:tab/>
        <w:t>F</w:t>
      </w:r>
      <w:r w:rsidRPr="00B24C6C">
        <w:t>or access to agricultural machinery and promotion of agricultural production in greenhouses</w:t>
      </w:r>
    </w:p>
  </w:footnote>
  <w:footnote w:id="64">
    <w:p w14:paraId="5899ACB1" w14:textId="35DBC003" w:rsidR="00CA7367" w:rsidRDefault="00CA7367" w:rsidP="00920BD7">
      <w:pPr>
        <w:pStyle w:val="FootnoteText"/>
        <w:ind w:left="180" w:hanging="180"/>
      </w:pPr>
      <w:r>
        <w:rPr>
          <w:rStyle w:val="FootnoteReference"/>
        </w:rPr>
        <w:footnoteRef/>
      </w:r>
      <w:r>
        <w:tab/>
        <w:t xml:space="preserve">National Statistics Office of Georgia: </w:t>
      </w:r>
      <w:hyperlink r:id="rId18" w:history="1">
        <w:r w:rsidRPr="009B2533">
          <w:rPr>
            <w:rStyle w:val="Hyperlink"/>
          </w:rPr>
          <w:t>https://www.geostat.ge/media/21016/W%26M-in-ENG_2017.pdf</w:t>
        </w:r>
      </w:hyperlink>
      <w:r>
        <w:t xml:space="preserve"> (accessed 23 April 2020)</w:t>
      </w:r>
    </w:p>
  </w:footnote>
  <w:footnote w:id="65">
    <w:p w14:paraId="1F31BCC4" w14:textId="7EADE598" w:rsidR="00CA7367" w:rsidRDefault="00CA7367" w:rsidP="009934E7">
      <w:pPr>
        <w:pStyle w:val="FootnoteText"/>
        <w:ind w:left="180" w:hanging="180"/>
        <w:jc w:val="left"/>
      </w:pPr>
      <w:r>
        <w:rPr>
          <w:rStyle w:val="FootnoteReference"/>
        </w:rPr>
        <w:footnoteRef/>
      </w:r>
      <w:r>
        <w:t xml:space="preserve"> ADB staff calculations based on National Statistics Office for Georgia data: </w:t>
      </w:r>
      <w:hyperlink r:id="rId19" w:history="1">
        <w:r w:rsidRPr="009B2533">
          <w:rPr>
            <w:rStyle w:val="Hyperlink"/>
          </w:rPr>
          <w:t>http://gender.geostat.ge/gender/index.php?action=Business%20Statistics</w:t>
        </w:r>
      </w:hyperlink>
      <w:r>
        <w:t xml:space="preserve"> (accessed 30 April 2020).</w:t>
      </w:r>
    </w:p>
  </w:footnote>
  <w:footnote w:id="66">
    <w:p w14:paraId="27FA0288" w14:textId="411B74CE" w:rsidR="00CA7367" w:rsidRDefault="00CA7367" w:rsidP="009934E7">
      <w:pPr>
        <w:pStyle w:val="FootnoteText"/>
        <w:ind w:left="180" w:hanging="180"/>
      </w:pPr>
      <w:r>
        <w:rPr>
          <w:rStyle w:val="FootnoteReference"/>
        </w:rPr>
        <w:footnoteRef/>
      </w:r>
      <w:r>
        <w:t xml:space="preserve"> ADB. 2014. </w:t>
      </w:r>
      <w:r w:rsidRPr="0044592D">
        <w:rPr>
          <w:i/>
          <w:iCs/>
        </w:rPr>
        <w:t>Georgia: Improving Domestic Resource Mobilization for Inclusive Growth Program</w:t>
      </w:r>
      <w:r>
        <w:rPr>
          <w:i/>
          <w:iCs/>
        </w:rPr>
        <w:t xml:space="preserve">: Report and Recommendation of the President. </w:t>
      </w:r>
      <w:r w:rsidRPr="0044592D">
        <w:t>Manila</w:t>
      </w:r>
    </w:p>
  </w:footnote>
  <w:footnote w:id="67">
    <w:p w14:paraId="3D3FF1B9" w14:textId="555CE48B" w:rsidR="00CA7367" w:rsidRDefault="00CA7367" w:rsidP="009934E7">
      <w:pPr>
        <w:pStyle w:val="FootnoteText"/>
        <w:ind w:left="180" w:hanging="180"/>
      </w:pPr>
      <w:r>
        <w:rPr>
          <w:rStyle w:val="FootnoteReference"/>
        </w:rPr>
        <w:footnoteRef/>
      </w:r>
      <w:r>
        <w:t xml:space="preserve"> ADB. 2018. </w:t>
      </w:r>
      <w:r w:rsidRPr="0044592D">
        <w:rPr>
          <w:i/>
          <w:iCs/>
        </w:rPr>
        <w:t>Preparing the Second Domestic Resource Mobilization Program: Technical Assistance Report</w:t>
      </w:r>
      <w:r>
        <w:t>. Manila</w:t>
      </w:r>
    </w:p>
  </w:footnote>
  <w:footnote w:id="68">
    <w:p w14:paraId="592929A3" w14:textId="23B1E7FA" w:rsidR="00CA7367" w:rsidRPr="0058497E" w:rsidRDefault="00CA7367" w:rsidP="009934E7">
      <w:pPr>
        <w:pStyle w:val="FootnoteText"/>
        <w:ind w:left="180" w:hanging="180"/>
        <w:rPr>
          <w:lang w:val="en-PH"/>
        </w:rPr>
      </w:pPr>
      <w:r>
        <w:rPr>
          <w:rStyle w:val="FootnoteReference"/>
        </w:rPr>
        <w:footnoteRef/>
      </w:r>
      <w:r>
        <w:t xml:space="preserve"> </w:t>
      </w:r>
      <w:r w:rsidRPr="0044754C">
        <w:t>TA 9</w:t>
      </w:r>
      <w:r>
        <w:t>9</w:t>
      </w:r>
      <w:r w:rsidRPr="0044754C">
        <w:t xml:space="preserve">50: </w:t>
      </w:r>
      <w:r w:rsidRPr="0058497E">
        <w:rPr>
          <w:lang w:val="en-PH"/>
        </w:rPr>
        <w:t>Regional Support to Address the Outbreak of Coronavirus Disease 2019 and Potential Outbreaks of Other Communicable Diseases</w:t>
      </w:r>
      <w:r>
        <w:rPr>
          <w:lang w:val="en-PH"/>
        </w:rPr>
        <w:t>.</w:t>
      </w:r>
      <w:r w:rsidRPr="0058497E">
        <w:rPr>
          <w:lang w:val="en-PH"/>
        </w:rPr>
        <w:t xml:space="preserve"> </w:t>
      </w:r>
    </w:p>
  </w:footnote>
  <w:footnote w:id="69">
    <w:p w14:paraId="5E80C93B" w14:textId="31042C49" w:rsidR="00CA7367" w:rsidRDefault="00CA7367" w:rsidP="00751672">
      <w:pPr>
        <w:pStyle w:val="FootnoteText"/>
        <w:ind w:left="284" w:hanging="284"/>
      </w:pPr>
      <w:r>
        <w:rPr>
          <w:rStyle w:val="FootnoteReference"/>
        </w:rPr>
        <w:footnoteRef/>
      </w:r>
      <w:r>
        <w:tab/>
        <w:t xml:space="preserve">The Asian Development Bank plays an active role in this reform through the provision of technical assistance support under the Second Domestic Resource Mobilization Program. ADB. 2018. </w:t>
      </w:r>
      <w:r w:rsidRPr="0023789D">
        <w:rPr>
          <w:i/>
          <w:iCs/>
        </w:rPr>
        <w:t xml:space="preserve">Second Domestic Resource Mobilization: </w:t>
      </w:r>
      <w:r>
        <w:rPr>
          <w:i/>
          <w:iCs/>
        </w:rPr>
        <w:t>Technical Assistance</w:t>
      </w:r>
      <w:r w:rsidRPr="0023789D">
        <w:rPr>
          <w:i/>
          <w:iCs/>
        </w:rPr>
        <w:t xml:space="preserve"> Paper</w:t>
      </w:r>
      <w:r>
        <w:t>. Manila.</w:t>
      </w:r>
    </w:p>
  </w:footnote>
  <w:footnote w:id="70">
    <w:p w14:paraId="0DB4BBD2" w14:textId="77777777" w:rsidR="00CA7367" w:rsidRDefault="00CA7367" w:rsidP="00751672">
      <w:pPr>
        <w:pStyle w:val="FootnoteText"/>
        <w:ind w:left="284" w:hanging="284"/>
      </w:pPr>
      <w:r>
        <w:rPr>
          <w:rStyle w:val="FootnoteReference"/>
        </w:rPr>
        <w:footnoteRef/>
      </w:r>
      <w:r>
        <w:tab/>
      </w:r>
      <w:r w:rsidRPr="00521D45">
        <w:t>FTA</w:t>
      </w:r>
      <w:r>
        <w:t xml:space="preserve">s were </w:t>
      </w:r>
      <w:r w:rsidRPr="00B52B0C">
        <w:t>signed with the U</w:t>
      </w:r>
      <w:r>
        <w:t xml:space="preserve">nited </w:t>
      </w:r>
      <w:r w:rsidRPr="00B52B0C">
        <w:t>K</w:t>
      </w:r>
      <w:r>
        <w:t>ingdom</w:t>
      </w:r>
      <w:r w:rsidRPr="00B52B0C">
        <w:t xml:space="preserve"> and feasibility studies for expanded or new FTAs with India, Turkey, Gulf states</w:t>
      </w:r>
      <w:r>
        <w:t>,</w:t>
      </w:r>
      <w:r w:rsidRPr="00B52B0C">
        <w:t xml:space="preserve"> and Israel</w:t>
      </w:r>
      <w:r>
        <w:t xml:space="preserve"> are currently under preparation. </w:t>
      </w:r>
    </w:p>
  </w:footnote>
  <w:footnote w:id="71">
    <w:p w14:paraId="69962387" w14:textId="43EF7BFB" w:rsidR="00CA7367" w:rsidRDefault="00CA7367" w:rsidP="00751672">
      <w:pPr>
        <w:pStyle w:val="FootnoteText"/>
        <w:ind w:left="284" w:hanging="284"/>
      </w:pPr>
      <w:r>
        <w:rPr>
          <w:rStyle w:val="FootnoteReference"/>
        </w:rPr>
        <w:footnoteRef/>
      </w:r>
      <w:r>
        <w:t xml:space="preserve"> </w:t>
      </w:r>
      <w:r>
        <w:tab/>
      </w:r>
      <w:r w:rsidRPr="009A7DC7">
        <w:t>IMF</w:t>
      </w:r>
      <w:r>
        <w:t>.</w:t>
      </w:r>
      <w:r w:rsidRPr="009A7DC7">
        <w:t xml:space="preserve"> 2019</w:t>
      </w:r>
      <w:r>
        <w:t>.</w:t>
      </w:r>
      <w:r w:rsidRPr="009A7DC7">
        <w:t xml:space="preserve"> </w:t>
      </w:r>
      <w:r w:rsidRPr="001B0A70">
        <w:rPr>
          <w:i/>
          <w:iCs/>
        </w:rPr>
        <w:t>Fifth Review Under the Extended Arrangement</w:t>
      </w:r>
      <w:r>
        <w:t>. Washington D.C.</w:t>
      </w:r>
    </w:p>
  </w:footnote>
  <w:footnote w:id="72">
    <w:p w14:paraId="791244C2" w14:textId="165131C8" w:rsidR="00CA7367" w:rsidRDefault="00CA7367" w:rsidP="00751672">
      <w:pPr>
        <w:pStyle w:val="FootnoteText"/>
        <w:ind w:left="284" w:hanging="284"/>
      </w:pPr>
      <w:r>
        <w:rPr>
          <w:rStyle w:val="FootnoteReference"/>
        </w:rPr>
        <w:footnoteRef/>
      </w:r>
      <w:r>
        <w:tab/>
        <w:t>Mostly driven by the Anti-Crisis Plan.</w:t>
      </w:r>
    </w:p>
  </w:footnote>
  <w:footnote w:id="73">
    <w:p w14:paraId="75CABDE0" w14:textId="77777777" w:rsidR="00CA7367" w:rsidRDefault="00CA7367" w:rsidP="00197CE6">
      <w:pPr>
        <w:pStyle w:val="FootnoteText"/>
        <w:ind w:left="284" w:hanging="284"/>
      </w:pPr>
      <w:r>
        <w:rPr>
          <w:rStyle w:val="FootnoteReference"/>
        </w:rPr>
        <w:footnoteRef/>
      </w:r>
      <w:r>
        <w:tab/>
        <w:t xml:space="preserve">IMF. 2019. </w:t>
      </w:r>
      <w:r w:rsidRPr="001B0A70">
        <w:rPr>
          <w:i/>
          <w:iCs/>
        </w:rPr>
        <w:t>Fifth Review Under the Extended Arrangement</w:t>
      </w:r>
      <w:r>
        <w:t>. Washington, D.C.</w:t>
      </w:r>
    </w:p>
  </w:footnote>
  <w:footnote w:id="74">
    <w:p w14:paraId="7DE33CAC" w14:textId="65561A61" w:rsidR="00CA7367" w:rsidRDefault="00CA7367" w:rsidP="00113685">
      <w:pPr>
        <w:pStyle w:val="FootnoteText"/>
        <w:ind w:left="284" w:hanging="284"/>
      </w:pPr>
      <w:r>
        <w:rPr>
          <w:rStyle w:val="FootnoteReference"/>
        </w:rPr>
        <w:footnoteRef/>
      </w:r>
      <w:r>
        <w:t xml:space="preserve"> </w:t>
      </w:r>
      <w:r>
        <w:tab/>
        <w:t xml:space="preserve">ADB. 2018. </w:t>
      </w:r>
      <w:bookmarkStart w:id="16" w:name="_Hlk38967102"/>
      <w:r w:rsidRPr="0023789D">
        <w:rPr>
          <w:i/>
          <w:iCs/>
        </w:rPr>
        <w:t xml:space="preserve">Second Domestic Resource Mobilization: </w:t>
      </w:r>
      <w:r>
        <w:rPr>
          <w:i/>
          <w:iCs/>
        </w:rPr>
        <w:t>Technical Assistance</w:t>
      </w:r>
      <w:r w:rsidRPr="0023789D">
        <w:rPr>
          <w:i/>
          <w:iCs/>
        </w:rPr>
        <w:t xml:space="preserve"> Paper</w:t>
      </w:r>
      <w:r>
        <w:t>. Manila.</w:t>
      </w:r>
      <w:bookmarkEnd w:id="16"/>
    </w:p>
  </w:footnote>
  <w:footnote w:id="75">
    <w:p w14:paraId="119B8DE5" w14:textId="333EE543" w:rsidR="00CA7367" w:rsidRDefault="00CA7367" w:rsidP="00113685">
      <w:pPr>
        <w:pStyle w:val="FootnoteText"/>
        <w:ind w:left="284" w:hanging="284"/>
      </w:pPr>
      <w:r>
        <w:rPr>
          <w:rStyle w:val="FootnoteReference"/>
        </w:rPr>
        <w:footnoteRef/>
      </w:r>
      <w:r>
        <w:t xml:space="preserve"> </w:t>
      </w:r>
      <w:r>
        <w:tab/>
        <w:t xml:space="preserve">ADB. 2018. </w:t>
      </w:r>
      <w:r w:rsidRPr="0023789D">
        <w:rPr>
          <w:i/>
          <w:iCs/>
        </w:rPr>
        <w:t>Second Domestic Resource Mobilization: Technical Assistance Paper</w:t>
      </w:r>
      <w:r>
        <w:t>. Manila.</w:t>
      </w:r>
    </w:p>
  </w:footnote>
  <w:footnote w:id="76">
    <w:p w14:paraId="179F43F7" w14:textId="0EEE1602" w:rsidR="00CA7367" w:rsidRDefault="00CA7367" w:rsidP="00113685">
      <w:pPr>
        <w:pStyle w:val="FootnoteText"/>
        <w:ind w:left="284" w:hanging="284"/>
      </w:pPr>
      <w:r>
        <w:rPr>
          <w:rStyle w:val="FootnoteReference"/>
        </w:rPr>
        <w:footnoteRef/>
      </w:r>
      <w:r>
        <w:t xml:space="preserve"> </w:t>
      </w:r>
      <w:r>
        <w:tab/>
        <w:t xml:space="preserve">CAREC Program. </w:t>
      </w:r>
      <w:hyperlink r:id="rId20" w:history="1">
        <w:r w:rsidRPr="00FA3052">
          <w:rPr>
            <w:rStyle w:val="Hyperlink"/>
          </w:rPr>
          <w:t>https://www.carecprogram.org/?page_id=13243</w:t>
        </w:r>
      </w:hyperlink>
      <w:r>
        <w:t>. (Accessed on 23 April 2020).</w:t>
      </w:r>
    </w:p>
  </w:footnote>
  <w:footnote w:id="77">
    <w:p w14:paraId="37D9DF06" w14:textId="5ECEF5F5" w:rsidR="00CA7367" w:rsidRDefault="00CA7367" w:rsidP="00113685">
      <w:pPr>
        <w:pStyle w:val="FootnoteText"/>
        <w:ind w:left="284" w:hanging="284"/>
      </w:pPr>
      <w:r>
        <w:rPr>
          <w:rStyle w:val="FootnoteReference"/>
        </w:rPr>
        <w:footnoteRef/>
      </w:r>
      <w:r>
        <w:t xml:space="preserve"> </w:t>
      </w:r>
      <w:r>
        <w:tab/>
        <w:t>Public debt is expected to rise from 42.7% of GDP in 2019 to 62.6% in 2020.</w:t>
      </w:r>
    </w:p>
  </w:footnote>
  <w:footnote w:id="78">
    <w:p w14:paraId="3C4DCAD0" w14:textId="44BEB0CA" w:rsidR="00CA7367" w:rsidRDefault="00CA7367" w:rsidP="00113685">
      <w:pPr>
        <w:pStyle w:val="FootnoteText"/>
        <w:ind w:left="284" w:hanging="284"/>
      </w:pPr>
      <w:r>
        <w:rPr>
          <w:rStyle w:val="FootnoteReference"/>
        </w:rPr>
        <w:footnoteRef/>
      </w:r>
      <w:r>
        <w:t xml:space="preserve"> </w:t>
      </w:r>
      <w:r>
        <w:tab/>
        <w:t xml:space="preserve">IMF. 2020. </w:t>
      </w:r>
      <w:r w:rsidRPr="0024564D">
        <w:rPr>
          <w:i/>
        </w:rPr>
        <w:t>Georgia: Debt Sustainability Analysis</w:t>
      </w:r>
      <w:r w:rsidRPr="0024564D">
        <w:rPr>
          <w:i/>
          <w:iCs/>
        </w:rPr>
        <w:t>.</w:t>
      </w:r>
      <w:r>
        <w:t xml:space="preserve"> Washington, D.C.</w:t>
      </w:r>
    </w:p>
  </w:footnote>
  <w:footnote w:id="79">
    <w:p w14:paraId="20AB2CB1" w14:textId="609017ED" w:rsidR="00CA7367" w:rsidRDefault="00CA7367" w:rsidP="009E0291">
      <w:pPr>
        <w:pStyle w:val="FootnoteText"/>
        <w:ind w:left="284" w:hanging="284"/>
      </w:pPr>
      <w:r>
        <w:rPr>
          <w:rStyle w:val="FootnoteReference"/>
        </w:rPr>
        <w:footnoteRef/>
      </w:r>
      <w:r>
        <w:t xml:space="preserve"> </w:t>
      </w:r>
      <w:r>
        <w:tab/>
        <w:t xml:space="preserve">Government of Georgia. 2018. </w:t>
      </w:r>
      <w:r w:rsidRPr="001B0A70">
        <w:rPr>
          <w:i/>
          <w:iCs/>
        </w:rPr>
        <w:t>Public Expenditure and Financial Accountability (PEFA) Assessment 2017</w:t>
      </w:r>
      <w:r>
        <w:t>. Tbilisi.</w:t>
      </w:r>
    </w:p>
  </w:footnote>
  <w:footnote w:id="80">
    <w:p w14:paraId="4481A936" w14:textId="12F2C96D" w:rsidR="00CA7367" w:rsidRDefault="00CA7367" w:rsidP="009E0291">
      <w:pPr>
        <w:pStyle w:val="FootnoteText"/>
        <w:ind w:left="284" w:hanging="284"/>
      </w:pPr>
      <w:r>
        <w:rPr>
          <w:rStyle w:val="FootnoteReference"/>
        </w:rPr>
        <w:footnoteRef/>
      </w:r>
      <w:r>
        <w:t xml:space="preserve"> </w:t>
      </w:r>
      <w:r>
        <w:tab/>
        <w:t>V</w:t>
      </w:r>
      <w:r w:rsidRPr="0058497E">
        <w:t>ulnerability is defined as having a probability of falling into poverty larger than 10</w:t>
      </w:r>
      <w:r>
        <w:t>%.</w:t>
      </w:r>
    </w:p>
  </w:footnote>
  <w:footnote w:id="81">
    <w:p w14:paraId="11D4BB6D" w14:textId="07260469" w:rsidR="00CA7367" w:rsidRDefault="00CA7367" w:rsidP="009E0291">
      <w:pPr>
        <w:pStyle w:val="FootnoteText"/>
        <w:ind w:left="284" w:hanging="284"/>
      </w:pPr>
      <w:r>
        <w:rPr>
          <w:rStyle w:val="FootnoteReference"/>
        </w:rPr>
        <w:footnoteRef/>
      </w:r>
      <w:r>
        <w:t xml:space="preserve"> </w:t>
      </w:r>
      <w:r>
        <w:tab/>
      </w:r>
      <w:r w:rsidRPr="4CC66239">
        <w:rPr>
          <w:rFonts w:cs="Arial"/>
          <w:szCs w:val="18"/>
        </w:rPr>
        <w:t xml:space="preserve">World </w:t>
      </w:r>
      <w:r>
        <w:rPr>
          <w:rFonts w:cs="Arial"/>
          <w:szCs w:val="18"/>
        </w:rPr>
        <w:t>Bank</w:t>
      </w:r>
      <w:r w:rsidRPr="4CC66239">
        <w:rPr>
          <w:rFonts w:cs="Arial"/>
          <w:szCs w:val="18"/>
        </w:rPr>
        <w:t>. 20</w:t>
      </w:r>
      <w:r>
        <w:rPr>
          <w:rFonts w:cs="Arial"/>
          <w:szCs w:val="18"/>
        </w:rPr>
        <w:t>18</w:t>
      </w:r>
      <w:r w:rsidRPr="4CC66239">
        <w:rPr>
          <w:rFonts w:cs="Arial"/>
          <w:szCs w:val="18"/>
        </w:rPr>
        <w:t xml:space="preserve">. </w:t>
      </w:r>
      <w:r>
        <w:rPr>
          <w:rFonts w:cs="Arial"/>
          <w:i/>
          <w:iCs/>
          <w:szCs w:val="18"/>
        </w:rPr>
        <w:t>Country Diagnostic from Reformer to Performer</w:t>
      </w:r>
      <w:r w:rsidRPr="002E49BA">
        <w:t xml:space="preserve">. </w:t>
      </w:r>
      <w:r>
        <w:rPr>
          <w:rFonts w:cs="Arial"/>
          <w:szCs w:val="18"/>
        </w:rPr>
        <w:t>Washington, D.C.</w:t>
      </w:r>
    </w:p>
  </w:footnote>
  <w:footnote w:id="82">
    <w:p w14:paraId="055312C8" w14:textId="5883F142" w:rsidR="00CA7367" w:rsidRDefault="00CA7367" w:rsidP="009E0291">
      <w:pPr>
        <w:pStyle w:val="FootnoteText"/>
        <w:ind w:left="284" w:hanging="284"/>
        <w:jc w:val="left"/>
      </w:pPr>
      <w:r>
        <w:rPr>
          <w:rStyle w:val="FootnoteReference"/>
        </w:rPr>
        <w:footnoteRef/>
      </w:r>
      <w:r>
        <w:t xml:space="preserve"> </w:t>
      </w:r>
      <w:r>
        <w:tab/>
        <w:t>N</w:t>
      </w:r>
      <w:r w:rsidRPr="008F5A71">
        <w:t xml:space="preserve">ational Statistics Office of Georgia. 2018. </w:t>
      </w:r>
      <w:r w:rsidRPr="008F5A71">
        <w:rPr>
          <w:i/>
          <w:iCs/>
        </w:rPr>
        <w:t>Women and Men in Georgia.</w:t>
      </w:r>
      <w:r>
        <w:rPr>
          <w:i/>
          <w:iCs/>
        </w:rPr>
        <w:t xml:space="preserve"> Tbilisi. </w:t>
      </w:r>
      <w:r>
        <w:t xml:space="preserve"> h</w:t>
      </w:r>
      <w:r w:rsidRPr="008F5A71">
        <w:t>ttps://www.geostat.ge/media/21015/W%26M-ENG-2018.pdf</w:t>
      </w:r>
    </w:p>
  </w:footnote>
  <w:footnote w:id="83">
    <w:p w14:paraId="6ED07372" w14:textId="58CB44E5" w:rsidR="00CA7367" w:rsidRDefault="00CA7367" w:rsidP="009E0291">
      <w:pPr>
        <w:pStyle w:val="FootnoteText"/>
        <w:ind w:left="284" w:hanging="284"/>
      </w:pPr>
      <w:r>
        <w:rPr>
          <w:rStyle w:val="FootnoteReference"/>
        </w:rPr>
        <w:footnoteRef/>
      </w:r>
      <w:r>
        <w:t xml:space="preserve"> </w:t>
      </w:r>
      <w:r>
        <w:tab/>
        <w:t xml:space="preserve">The majority </w:t>
      </w:r>
      <w:r w:rsidRPr="00701C88">
        <w:t>(73%) of the 104,000 men who received social packages were pensioners</w:t>
      </w:r>
      <w:r>
        <w:t xml:space="preserve"> living with disabilities</w:t>
      </w:r>
      <w:r w:rsidRPr="00701C88">
        <w:t>,</w:t>
      </w:r>
      <w:r>
        <w:t xml:space="preserve"> while</w:t>
      </w:r>
      <w:r w:rsidRPr="00701C88">
        <w:t xml:space="preserve"> 11% were survivors’ pensioners, </w:t>
      </w:r>
      <w:r>
        <w:t xml:space="preserve">further </w:t>
      </w:r>
      <w:r w:rsidRPr="00701C88">
        <w:t xml:space="preserve">9% received state compensation, and 6% received housing subsidies.  </w:t>
      </w:r>
    </w:p>
  </w:footnote>
  <w:footnote w:id="84">
    <w:p w14:paraId="53EA66AF" w14:textId="6720D2B1" w:rsidR="00CA7367" w:rsidRDefault="00CA7367" w:rsidP="004F6D0C">
      <w:pPr>
        <w:pStyle w:val="FootnoteText"/>
        <w:tabs>
          <w:tab w:val="left" w:pos="284"/>
        </w:tabs>
        <w:ind w:left="180" w:hanging="194"/>
      </w:pPr>
      <w:r>
        <w:rPr>
          <w:rStyle w:val="FootnoteReference"/>
        </w:rPr>
        <w:footnoteRef/>
      </w:r>
      <w:r>
        <w:tab/>
        <w:t>Risk Assessment and Risk Management Plan (accessible from the list of linked documents in Appendix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52D4" w14:textId="77777777" w:rsidR="00CA7367" w:rsidRDefault="00CA7367" w:rsidP="000241B1">
    <w:pPr>
      <w:pStyle w:val="Header"/>
      <w:ind w:right="-334"/>
      <w:jc w:val="right"/>
    </w:pPr>
    <w:r>
      <w:rPr>
        <w:noProof/>
      </w:rPr>
      <mc:AlternateContent>
        <mc:Choice Requires="wps">
          <w:drawing>
            <wp:anchor distT="0" distB="0" distL="114300" distR="114300" simplePos="0" relativeHeight="251658241" behindDoc="0" locked="0" layoutInCell="1" allowOverlap="1" wp14:anchorId="0AE0D166" wp14:editId="6DCDFC1C">
              <wp:simplePos x="0" y="0"/>
              <wp:positionH relativeFrom="column">
                <wp:posOffset>-15875</wp:posOffset>
              </wp:positionH>
              <wp:positionV relativeFrom="paragraph">
                <wp:posOffset>1511300</wp:posOffset>
              </wp:positionV>
              <wp:extent cx="6269990" cy="0"/>
              <wp:effectExtent l="12700" t="6350"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6DED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19pt" to="492.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" strokeweight=".25pt"/>
          </w:pict>
        </mc:Fallback>
      </mc:AlternateContent>
    </w:r>
    <w:r>
      <w:rPr>
        <w:noProof/>
      </w:rPr>
      <mc:AlternateContent>
        <mc:Choice Requires="wps">
          <w:drawing>
            <wp:anchor distT="0" distB="0" distL="114300" distR="114300" simplePos="0" relativeHeight="251658240" behindDoc="0" locked="0" layoutInCell="1" allowOverlap="1" wp14:anchorId="124DB802" wp14:editId="4A98E5B0">
              <wp:simplePos x="0" y="0"/>
              <wp:positionH relativeFrom="column">
                <wp:posOffset>-116205</wp:posOffset>
              </wp:positionH>
              <wp:positionV relativeFrom="paragraph">
                <wp:posOffset>831850</wp:posOffset>
              </wp:positionV>
              <wp:extent cx="6362065" cy="1040765"/>
              <wp:effectExtent l="0" t="317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44EE" w14:textId="77777777" w:rsidR="00CA7367" w:rsidRDefault="00CA7367">
                          <w:pPr>
                            <w:rPr>
                              <w:rFonts w:cs="Arial"/>
                              <w:sz w:val="40"/>
                              <w:szCs w:val="40"/>
                            </w:rPr>
                          </w:pPr>
                          <w:r>
                            <w:rPr>
                              <w:rFonts w:cs="Arial"/>
                              <w:sz w:val="40"/>
                              <w:szCs w:val="40"/>
                            </w:rPr>
                            <w:t xml:space="preserve">Report and Recommendation of the President </w:t>
                          </w:r>
                        </w:p>
                        <w:p w14:paraId="7DCE2723" w14:textId="77777777" w:rsidR="00CA7367" w:rsidRDefault="00CA7367" w:rsidP="007B6433">
                          <w:pPr>
                            <w:autoSpaceDE w:val="0"/>
                            <w:autoSpaceDN w:val="0"/>
                            <w:adjustRightInd w:val="0"/>
                            <w:rPr>
                              <w:rFonts w:ascii="MS Shell Dlg" w:hAnsi="MS Shell Dlg" w:cs="MS Shell Dlg"/>
                              <w:sz w:val="17"/>
                              <w:szCs w:val="17"/>
                            </w:rPr>
                          </w:pPr>
                          <w:r>
                            <w:rPr>
                              <w:rFonts w:cs="Arial"/>
                              <w:sz w:val="40"/>
                              <w:szCs w:val="40"/>
                            </w:rPr>
                            <w:t>to the Board of Directors</w:t>
                          </w:r>
                        </w:p>
                        <w:p w14:paraId="68C07142" w14:textId="77777777" w:rsidR="00CA7367" w:rsidRPr="00113500" w:rsidRDefault="00CA7367">
                          <w:pPr>
                            <w:rPr>
                              <w:rFonts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DB802" id="_x0000_t202" coordsize="21600,21600" o:spt="202" path="m,l,21600r21600,l21600,xe">
              <v:stroke joinstyle="miter"/>
              <v:path gradientshapeok="t" o:connecttype="rect"/>
            </v:shapetype>
            <v:shape id="Text Box 1" o:spid="_x0000_s1026" type="#_x0000_t202" style="position:absolute;left:0;text-align:left;margin-left:-9.15pt;margin-top:65.5pt;width:500.95pt;height: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" filled="f" stroked="f">
              <v:textbox>
                <w:txbxContent>
                  <w:p w14:paraId="395144EE" w14:textId="77777777" w:rsidR="00CA7367" w:rsidRDefault="00CA7367">
                    <w:pPr>
                      <w:rPr>
                        <w:rFonts w:cs="Arial"/>
                        <w:sz w:val="40"/>
                        <w:szCs w:val="40"/>
                      </w:rPr>
                    </w:pPr>
                    <w:r>
                      <w:rPr>
                        <w:rFonts w:cs="Arial"/>
                        <w:sz w:val="40"/>
                        <w:szCs w:val="40"/>
                      </w:rPr>
                      <w:t xml:space="preserve">Report and Recommendation of the President </w:t>
                    </w:r>
                  </w:p>
                  <w:p w14:paraId="7DCE2723" w14:textId="77777777" w:rsidR="00CA7367" w:rsidRDefault="00CA7367" w:rsidP="007B6433">
                    <w:pPr>
                      <w:autoSpaceDE w:val="0"/>
                      <w:autoSpaceDN w:val="0"/>
                      <w:adjustRightInd w:val="0"/>
                      <w:rPr>
                        <w:rFonts w:ascii="MS Shell Dlg" w:hAnsi="MS Shell Dlg" w:cs="MS Shell Dlg"/>
                        <w:sz w:val="17"/>
                        <w:szCs w:val="17"/>
                      </w:rPr>
                    </w:pPr>
                    <w:r>
                      <w:rPr>
                        <w:rFonts w:cs="Arial"/>
                        <w:sz w:val="40"/>
                        <w:szCs w:val="40"/>
                      </w:rPr>
                      <w:t>to the Board of Directors</w:t>
                    </w:r>
                  </w:p>
                  <w:p w14:paraId="68C07142" w14:textId="77777777" w:rsidR="00CA7367" w:rsidRPr="00113500" w:rsidRDefault="00CA7367">
                    <w:pPr>
                      <w:rPr>
                        <w:rFonts w:cs="Arial"/>
                        <w:sz w:val="40"/>
                        <w:szCs w:val="40"/>
                      </w:rPr>
                    </w:pPr>
                  </w:p>
                </w:txbxContent>
              </v:textbox>
            </v:shape>
          </w:pict>
        </mc:Fallback>
      </mc:AlternateContent>
    </w:r>
    <w:r>
      <w:rPr>
        <w:noProof/>
      </w:rPr>
      <w:drawing>
        <wp:anchor distT="0" distB="0" distL="114300" distR="114300" simplePos="0" relativeHeight="251658242" behindDoc="1" locked="0" layoutInCell="1" allowOverlap="1" wp14:anchorId="66B07D48" wp14:editId="1BC32606">
          <wp:simplePos x="0" y="0"/>
          <wp:positionH relativeFrom="column">
            <wp:posOffset>-25400</wp:posOffset>
          </wp:positionH>
          <wp:positionV relativeFrom="paragraph">
            <wp:posOffset>-25400</wp:posOffset>
          </wp:positionV>
          <wp:extent cx="787400" cy="787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87400" cy="787400"/>
                  </a:xfrm>
                  <a:prstGeom prst="rect">
                    <a:avLst/>
                  </a:prstGeom>
                  <a:noFill/>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B18D" w14:textId="2F52C999" w:rsidR="00CA7367" w:rsidRDefault="00CA7367" w:rsidP="00AF1C9D">
    <w:pPr>
      <w:jc w:val="right"/>
    </w:pPr>
    <w:r w:rsidRPr="00395C09">
      <w:rPr>
        <w:sz w:val="18"/>
        <w:szCs w:val="18"/>
      </w:rPr>
      <w:t xml:space="preserve">Appendix </w:t>
    </w:r>
    <w:r>
      <w:rPr>
        <w:sz w:val="18"/>
        <w:szCs w:val="18"/>
      </w:rPr>
      <w:t xml:space="preserve">2       </w:t>
    </w:r>
    <w:r>
      <w:fldChar w:fldCharType="begin"/>
    </w:r>
    <w:r>
      <w:instrText xml:space="preserve"> PAGE   \* MERGEFORMAT </w:instrText>
    </w:r>
    <w:r>
      <w:fldChar w:fldCharType="separate"/>
    </w:r>
    <w:r>
      <w:rPr>
        <w:noProof/>
      </w:rPr>
      <w:t>8</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974B" w14:textId="07C5F826" w:rsidR="00CA7367" w:rsidRDefault="00CA7367" w:rsidP="00D53AA7">
    <w:pPr>
      <w:pStyle w:val="Header"/>
      <w:tabs>
        <w:tab w:val="left" w:pos="7740"/>
        <w:tab w:val="right" w:pos="9360"/>
      </w:tabs>
    </w:pPr>
    <w:r>
      <w:tab/>
    </w:r>
    <w:r>
      <w:rPr>
        <w:sz w:val="18"/>
      </w:rPr>
      <w:t>Appendix 2</w:t>
    </w:r>
    <w:r>
      <w:tab/>
    </w:r>
    <w:r>
      <w:fldChar w:fldCharType="begin"/>
    </w:r>
    <w:r>
      <w:instrText xml:space="preserve"> PAGE </w:instrText>
    </w:r>
    <w:r>
      <w:fldChar w:fldCharType="separate"/>
    </w:r>
    <w:r>
      <w:rPr>
        <w:noProof/>
      </w:rPr>
      <w:t>9</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B55D" w14:textId="00F1F0C3" w:rsidR="00CA7367" w:rsidRDefault="00CA7367" w:rsidP="00395C09">
    <w:r>
      <w:fldChar w:fldCharType="begin"/>
    </w:r>
    <w:r>
      <w:instrText xml:space="preserve"> PAGE   \* MERGEFORMAT </w:instrText>
    </w:r>
    <w:r>
      <w:fldChar w:fldCharType="separate"/>
    </w:r>
    <w:r>
      <w:rPr>
        <w:noProof/>
      </w:rPr>
      <w:t>8</w:t>
    </w:r>
    <w:r>
      <w:rPr>
        <w:noProof/>
      </w:rPr>
      <w:fldChar w:fldCharType="end"/>
    </w:r>
    <w:r>
      <w:tab/>
    </w:r>
    <w:r w:rsidRPr="00395C09">
      <w:rPr>
        <w:sz w:val="18"/>
        <w:szCs w:val="18"/>
      </w:rPr>
      <w:t xml:space="preserve">Appendix </w:t>
    </w:r>
    <w:r>
      <w:rPr>
        <w:sz w:val="18"/>
        <w:szCs w:val="18"/>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09296"/>
      <w:docPartObj>
        <w:docPartGallery w:val="Page Numbers (Top of Page)"/>
        <w:docPartUnique/>
      </w:docPartObj>
    </w:sdtPr>
    <w:sdtEndPr>
      <w:rPr>
        <w:noProof/>
      </w:rPr>
    </w:sdtEndPr>
    <w:sdtContent>
      <w:p w14:paraId="313CF6C5" w14:textId="72042E46" w:rsidR="00CA7367" w:rsidRDefault="00CA7367">
        <w:pPr>
          <w:pStyle w:val="Header"/>
          <w:jc w:val="right"/>
        </w:pPr>
        <w:r>
          <w:t xml:space="preserve">Appendix 3       </w:t>
        </w:r>
        <w:r>
          <w:fldChar w:fldCharType="begin"/>
        </w:r>
        <w:r>
          <w:instrText xml:space="preserve"> PAGE   \* MERGEFORMAT </w:instrText>
        </w:r>
        <w:r>
          <w:fldChar w:fldCharType="separate"/>
        </w:r>
        <w:r>
          <w:rPr>
            <w:noProof/>
          </w:rPr>
          <w:t>2</w:t>
        </w:r>
        <w:r>
          <w:rPr>
            <w:noProof/>
          </w:rPr>
          <w:fldChar w:fldCharType="end"/>
        </w:r>
      </w:p>
    </w:sdtContent>
  </w:sdt>
  <w:p w14:paraId="6766F8F1" w14:textId="083FC6EB" w:rsidR="00CA7367" w:rsidRPr="00AF1C9D" w:rsidRDefault="00CA7367" w:rsidP="009C67A5">
    <w:pPr>
      <w:pStyle w:val="Header"/>
      <w:tabs>
        <w:tab w:val="left" w:pos="7740"/>
        <w:tab w:val="right" w:pos="9360"/>
      </w:tabs>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50E5" w14:textId="0B8C0F08" w:rsidR="00CA7367" w:rsidRDefault="00CA7367" w:rsidP="00395C09">
    <w:r>
      <w:fldChar w:fldCharType="begin"/>
    </w:r>
    <w:r>
      <w:instrText xml:space="preserve"> PAGE   \* MERGEFORMAT </w:instrText>
    </w:r>
    <w:r>
      <w:fldChar w:fldCharType="separate"/>
    </w:r>
    <w:r>
      <w:rPr>
        <w:noProof/>
      </w:rPr>
      <w:t>8</w:t>
    </w:r>
    <w:r>
      <w:rPr>
        <w:noProof/>
      </w:rPr>
      <w:fldChar w:fldCharType="end"/>
    </w:r>
    <w:r>
      <w:tab/>
    </w:r>
    <w:r w:rsidRPr="00395C09">
      <w:rPr>
        <w:sz w:val="18"/>
        <w:szCs w:val="18"/>
      </w:rPr>
      <w:t xml:space="preserve">Appendix </w:t>
    </w:r>
    <w:r>
      <w:rPr>
        <w:sz w:val="18"/>
        <w:szCs w:val="18"/>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C92B" w14:textId="74036B18" w:rsidR="00CA7367" w:rsidRDefault="00CA7367">
    <w:pPr>
      <w:pStyle w:val="Header"/>
      <w:jc w:val="right"/>
    </w:pPr>
    <w:r>
      <w:t xml:space="preserve">Appendix 4        </w:t>
    </w:r>
    <w:sdt>
      <w:sdtPr>
        <w:id w:val="12373647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676703" w14:textId="77777777" w:rsidR="00CA7367" w:rsidRPr="00AF1C9D" w:rsidRDefault="00CA7367" w:rsidP="009C67A5">
    <w:pPr>
      <w:pStyle w:val="Header"/>
      <w:tabs>
        <w:tab w:val="left" w:pos="7740"/>
        <w:tab w:val="right" w:pos="936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BAF9" w14:textId="77777777" w:rsidR="00CA7367" w:rsidRDefault="00CA7367" w:rsidP="00603F0E">
    <w:pPr>
      <w:pStyle w:val="Header"/>
      <w:ind w:right="-3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146C" w14:textId="77777777" w:rsidR="00CA7367" w:rsidRDefault="00CA736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138A" w14:textId="77777777" w:rsidR="00CA7367" w:rsidRDefault="00CA73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6E1E" w14:textId="02E7AFC5" w:rsidR="00CA7367" w:rsidRDefault="00CA7367">
    <w:pPr>
      <w:pStyle w:val="Header"/>
      <w:jc w:val="left"/>
    </w:pPr>
    <w:r>
      <w:fldChar w:fldCharType="begin"/>
    </w:r>
    <w:r>
      <w:instrText xml:space="preserve"> PAGE </w:instrText>
    </w:r>
    <w:r>
      <w:fldChar w:fldCharType="separate"/>
    </w:r>
    <w:r>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ABFF" w14:textId="23A30BEA" w:rsidR="00CA7367" w:rsidRDefault="00CA7367">
    <w:pPr>
      <w:pStyle w:val="Header"/>
      <w:jc w:val="right"/>
    </w:pPr>
    <w:r>
      <w:fldChar w:fldCharType="begin"/>
    </w:r>
    <w:r>
      <w:instrText xml:space="preserve"> PAGE </w:instrText>
    </w:r>
    <w:r>
      <w:fldChar w:fldCharType="separate"/>
    </w:r>
    <w:r>
      <w:rPr>
        <w:noProof/>
      </w:rPr>
      <w:t>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11B1" w14:textId="77777777" w:rsidR="00CA7367" w:rsidRPr="006F6DC7" w:rsidRDefault="00CA7367" w:rsidP="006F6D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B6B8" w14:textId="49DB7316" w:rsidR="00CA7367" w:rsidRDefault="00CA7367" w:rsidP="00395C09">
    <w:r>
      <w:fldChar w:fldCharType="begin"/>
    </w:r>
    <w:r>
      <w:instrText xml:space="preserve"> PAGE   \* MERGEFORMAT </w:instrText>
    </w:r>
    <w:r>
      <w:fldChar w:fldCharType="separate"/>
    </w:r>
    <w:r>
      <w:rPr>
        <w:noProof/>
      </w:rPr>
      <w:t>8</w:t>
    </w:r>
    <w:r>
      <w:rPr>
        <w:noProof/>
      </w:rPr>
      <w:fldChar w:fldCharType="end"/>
    </w:r>
    <w:r>
      <w:tab/>
    </w:r>
    <w:r w:rsidRPr="00395C09">
      <w:rPr>
        <w:sz w:val="18"/>
        <w:szCs w:val="18"/>
      </w:rPr>
      <w:t xml:space="preserve">Appendix </w:t>
    </w:r>
    <w:r>
      <w:rPr>
        <w:sz w:val="18"/>
        <w:szCs w:val="18"/>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6126" w14:textId="3DE7965F" w:rsidR="00CA7367" w:rsidRDefault="00CA7367" w:rsidP="00D53AA7">
    <w:pPr>
      <w:pStyle w:val="Header"/>
      <w:tabs>
        <w:tab w:val="left" w:pos="7740"/>
        <w:tab w:val="right" w:pos="9360"/>
      </w:tabs>
    </w:pPr>
    <w:r>
      <w:tab/>
    </w:r>
    <w:r>
      <w:rPr>
        <w:sz w:val="18"/>
      </w:rPr>
      <w:t>Appendix 1</w:t>
    </w:r>
    <w:r>
      <w:tab/>
    </w:r>
    <w:r>
      <w:fldChar w:fldCharType="begin"/>
    </w:r>
    <w:r>
      <w:instrText xml:space="preserve"> PAGE </w:instrText>
    </w:r>
    <w:r>
      <w:fldChar w:fldCharType="separate"/>
    </w:r>
    <w:r>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4D691BA"/>
    <w:lvl w:ilvl="0">
      <w:start w:val="1"/>
      <w:numFmt w:val="upperRoman"/>
      <w:pStyle w:val="Heading1"/>
      <w:lvlText w:val="%1."/>
      <w:legacy w:legacy="1" w:legacySpace="0" w:legacyIndent="720"/>
      <w:lvlJc w:val="left"/>
      <w:pPr>
        <w:ind w:left="3960" w:hanging="720"/>
      </w:pPr>
      <w:rPr>
        <w:rFonts w:cs="Times New Roman"/>
        <w:color w:val="auto"/>
      </w:rPr>
    </w:lvl>
    <w:lvl w:ilvl="1">
      <w:start w:val="1"/>
      <w:numFmt w:val="upperLetter"/>
      <w:pStyle w:val="Heading2"/>
      <w:lvlText w:val="%2."/>
      <w:legacy w:legacy="1" w:legacySpace="0" w:legacyIndent="720"/>
      <w:lvlJc w:val="left"/>
      <w:pPr>
        <w:ind w:left="4410" w:hanging="720"/>
      </w:pPr>
      <w:rPr>
        <w:rFonts w:cs="Times New Roman"/>
        <w:b/>
        <w:bCs w:val="0"/>
        <w:color w:val="auto"/>
      </w:rPr>
    </w:lvl>
    <w:lvl w:ilvl="2">
      <w:start w:val="1"/>
      <w:numFmt w:val="decimal"/>
      <w:pStyle w:val="Heading3"/>
      <w:lvlText w:val="%3."/>
      <w:legacy w:legacy="1" w:legacySpace="0" w:legacyIndent="720"/>
      <w:lvlJc w:val="left"/>
      <w:pPr>
        <w:ind w:left="4680" w:hanging="720"/>
      </w:pPr>
      <w:rPr>
        <w:rFonts w:cs="Times New Roman"/>
        <w:b/>
      </w:rPr>
    </w:lvl>
    <w:lvl w:ilvl="3">
      <w:start w:val="1"/>
      <w:numFmt w:val="lowerLetter"/>
      <w:pStyle w:val="Heading4"/>
      <w:lvlText w:val="%4."/>
      <w:legacy w:legacy="1" w:legacySpace="0" w:legacyIndent="720"/>
      <w:lvlJc w:val="left"/>
      <w:pPr>
        <w:ind w:left="5400" w:hanging="720"/>
      </w:pPr>
      <w:rPr>
        <w:rFonts w:cs="Times New Roman"/>
      </w:rPr>
    </w:lvl>
    <w:lvl w:ilvl="4">
      <w:start w:val="1"/>
      <w:numFmt w:val="lowerRoman"/>
      <w:pStyle w:val="Heading5"/>
      <w:lvlText w:val="%5."/>
      <w:legacy w:legacy="1" w:legacySpace="0" w:legacyIndent="720"/>
      <w:lvlJc w:val="left"/>
      <w:pPr>
        <w:ind w:left="6120" w:hanging="720"/>
      </w:pPr>
      <w:rPr>
        <w:rFonts w:cs="Times New Roman"/>
      </w:rPr>
    </w:lvl>
    <w:lvl w:ilvl="5">
      <w:start w:val="1"/>
      <w:numFmt w:val="none"/>
      <w:pStyle w:val="Heading6"/>
      <w:suff w:val="nothing"/>
      <w:lvlText w:val=""/>
      <w:lvlJc w:val="left"/>
      <w:pPr>
        <w:ind w:left="7560" w:hanging="720"/>
      </w:pPr>
      <w:rPr>
        <w:rFonts w:cs="Times New Roman"/>
      </w:rPr>
    </w:lvl>
    <w:lvl w:ilvl="6">
      <w:start w:val="1"/>
      <w:numFmt w:val="none"/>
      <w:pStyle w:val="Heading7"/>
      <w:suff w:val="nothing"/>
      <w:lvlText w:val=""/>
      <w:lvlJc w:val="left"/>
      <w:pPr>
        <w:ind w:left="8280" w:hanging="720"/>
      </w:pPr>
      <w:rPr>
        <w:rFonts w:cs="Times New Roman"/>
      </w:rPr>
    </w:lvl>
    <w:lvl w:ilvl="7">
      <w:start w:val="1"/>
      <w:numFmt w:val="none"/>
      <w:pStyle w:val="Heading8"/>
      <w:suff w:val="nothing"/>
      <w:lvlText w:val=""/>
      <w:lvlJc w:val="left"/>
      <w:pPr>
        <w:ind w:left="9000" w:hanging="720"/>
      </w:pPr>
      <w:rPr>
        <w:rFonts w:cs="Times New Roman"/>
      </w:rPr>
    </w:lvl>
    <w:lvl w:ilvl="8">
      <w:start w:val="1"/>
      <w:numFmt w:val="none"/>
      <w:pStyle w:val="Heading9"/>
      <w:suff w:val="nothing"/>
      <w:lvlText w:val=""/>
      <w:lvlJc w:val="left"/>
      <w:pPr>
        <w:ind w:left="9720" w:hanging="720"/>
      </w:pPr>
      <w:rPr>
        <w:rFonts w:cs="Times New Roman"/>
      </w:rPr>
    </w:lvl>
  </w:abstractNum>
  <w:abstractNum w:abstractNumId="1" w15:restartNumberingAfterBreak="0">
    <w:nsid w:val="17D907DB"/>
    <w:multiLevelType w:val="hybridMultilevel"/>
    <w:tmpl w:val="F8B6F9F6"/>
    <w:lvl w:ilvl="0" w:tplc="EE20C1F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72393"/>
    <w:multiLevelType w:val="hybridMultilevel"/>
    <w:tmpl w:val="FD5C496E"/>
    <w:lvl w:ilvl="0" w:tplc="6D085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E5619"/>
    <w:multiLevelType w:val="hybridMultilevel"/>
    <w:tmpl w:val="B5BC88AE"/>
    <w:lvl w:ilvl="0" w:tplc="75E40D1C">
      <w:start w:val="1"/>
      <w:numFmt w:val="decimal"/>
      <w:pStyle w:val="TOC3"/>
      <w:lvlText w:val="%1."/>
      <w:lvlJc w:val="left"/>
      <w:pPr>
        <w:ind w:left="360" w:hanging="360"/>
      </w:pPr>
      <w:rPr>
        <w:rFonts w:ascii="Arial" w:hAnsi="Arial" w:hint="default"/>
        <w:b w:val="0"/>
        <w:i w:val="0"/>
        <w:caps w:val="0"/>
        <w:strike w:val="0"/>
        <w:dstrike w:val="0"/>
        <w:vanish w:val="0"/>
        <w:color w:val="auto"/>
        <w:spacing w:val="0"/>
        <w:w w:val="100"/>
        <w:kern w:val="0"/>
        <w:position w:val="0"/>
        <w:sz w:val="22"/>
        <w:u w:val="none"/>
        <w:vertAlign w:val="baseline"/>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28DA7BBA"/>
    <w:multiLevelType w:val="hybridMultilevel"/>
    <w:tmpl w:val="303CF150"/>
    <w:lvl w:ilvl="0" w:tplc="50C40132">
      <w:start w:val="5"/>
      <w:numFmt w:val="bullet"/>
      <w:lvlText w:val="-"/>
      <w:lvlJc w:val="left"/>
      <w:pPr>
        <w:ind w:left="720" w:hanging="360"/>
      </w:pPr>
      <w:rPr>
        <w:rFonts w:ascii="Sylfaen_PDF_Subset" w:eastAsia="SimSun" w:hAnsi="Sylfaen_PDF_Subset" w:cs="Sylfaen_PDF_Subse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92D97"/>
    <w:multiLevelType w:val="hybridMultilevel"/>
    <w:tmpl w:val="3E9C51CC"/>
    <w:lvl w:ilvl="0" w:tplc="67EAF688">
      <w:start w:val="1"/>
      <w:numFmt w:val="low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12AFA"/>
    <w:multiLevelType w:val="hybridMultilevel"/>
    <w:tmpl w:val="99E8F130"/>
    <w:lvl w:ilvl="0" w:tplc="7E7A9990">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B2CE8"/>
    <w:multiLevelType w:val="multilevel"/>
    <w:tmpl w:val="7BF4D1CA"/>
    <w:lvl w:ilvl="0">
      <w:start w:val="1"/>
      <w:numFmt w:val="decimal"/>
      <w:lvlText w:val="%1."/>
      <w:lvlJc w:val="left"/>
      <w:pPr>
        <w:ind w:left="360" w:hanging="360"/>
      </w:pPr>
    </w:lvl>
    <w:lvl w:ilvl="1">
      <w:start w:val="2"/>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8" w15:restartNumberingAfterBreak="0">
    <w:nsid w:val="4B3B5082"/>
    <w:multiLevelType w:val="singleLevel"/>
    <w:tmpl w:val="EB0A8868"/>
    <w:lvl w:ilvl="0">
      <w:start w:val="1"/>
      <w:numFmt w:val="lowerRoman"/>
      <w:lvlText w:val="(%1)"/>
      <w:legacy w:legacy="1" w:legacySpace="0" w:legacyIndent="720"/>
      <w:lvlJc w:val="left"/>
      <w:pPr>
        <w:ind w:left="1440" w:hanging="720"/>
      </w:pPr>
      <w:rPr>
        <w:rFonts w:cs="Times New Roman"/>
      </w:rPr>
    </w:lvl>
  </w:abstractNum>
  <w:abstractNum w:abstractNumId="9" w15:restartNumberingAfterBreak="0">
    <w:nsid w:val="4CFA67EE"/>
    <w:multiLevelType w:val="hybridMultilevel"/>
    <w:tmpl w:val="6960E7B6"/>
    <w:lvl w:ilvl="0" w:tplc="C512D858">
      <w:start w:val="1"/>
      <w:numFmt w:val="lowerRoman"/>
      <w:lvlText w:val="%1)"/>
      <w:lvlJc w:val="left"/>
      <w:pPr>
        <w:ind w:left="540" w:hanging="360"/>
      </w:pPr>
      <w:rPr>
        <w:rFonts w:ascii="Arial" w:eastAsia="SimSun" w:hAnsi="Arial" w:cs="Times New Roman"/>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0"/>
  </w:num>
  <w:num w:numId="3">
    <w:abstractNumId w:val="3"/>
  </w:num>
  <w:num w:numId="4">
    <w:abstractNumId w:val="2"/>
  </w:num>
  <w:num w:numId="5">
    <w:abstractNumId w:val="1"/>
  </w:num>
  <w:num w:numId="6">
    <w:abstractNumId w:val="7"/>
  </w:num>
  <w:num w:numId="7">
    <w:abstractNumId w:val="5"/>
  </w:num>
  <w:num w:numId="8">
    <w:abstractNumId w:val="6"/>
  </w:num>
  <w:num w:numId="9">
    <w:abstractNumId w:val="9"/>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4097"/>
  </w:hdrShapeDefaults>
  <w:footnotePr>
    <w:numRestart w:val="eachSect"/>
    <w:footnote w:id="-1"/>
    <w:footnote w:id="0"/>
    <w:footnote w:id="1"/>
  </w:footnotePr>
  <w:endnotePr>
    <w:numRestart w:val="eachSect"/>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3C"/>
    <w:rsid w:val="00000580"/>
    <w:rsid w:val="00000892"/>
    <w:rsid w:val="00000A35"/>
    <w:rsid w:val="00000DC4"/>
    <w:rsid w:val="000017F3"/>
    <w:rsid w:val="00001946"/>
    <w:rsid w:val="00001B86"/>
    <w:rsid w:val="00001D47"/>
    <w:rsid w:val="00001F6B"/>
    <w:rsid w:val="00002199"/>
    <w:rsid w:val="0000247D"/>
    <w:rsid w:val="00002758"/>
    <w:rsid w:val="000027BC"/>
    <w:rsid w:val="000028A5"/>
    <w:rsid w:val="00002AE8"/>
    <w:rsid w:val="00002B40"/>
    <w:rsid w:val="00002C2B"/>
    <w:rsid w:val="00003157"/>
    <w:rsid w:val="0000324B"/>
    <w:rsid w:val="00003557"/>
    <w:rsid w:val="0000399C"/>
    <w:rsid w:val="00003EA8"/>
    <w:rsid w:val="00004152"/>
    <w:rsid w:val="000041CE"/>
    <w:rsid w:val="000042E1"/>
    <w:rsid w:val="000043FF"/>
    <w:rsid w:val="000044B8"/>
    <w:rsid w:val="0000477B"/>
    <w:rsid w:val="000047F4"/>
    <w:rsid w:val="00004942"/>
    <w:rsid w:val="00004B92"/>
    <w:rsid w:val="00004C68"/>
    <w:rsid w:val="00004E26"/>
    <w:rsid w:val="00004F6D"/>
    <w:rsid w:val="00004FE5"/>
    <w:rsid w:val="00005086"/>
    <w:rsid w:val="000055FD"/>
    <w:rsid w:val="00005AAC"/>
    <w:rsid w:val="00005AE8"/>
    <w:rsid w:val="00005EB3"/>
    <w:rsid w:val="00005ED4"/>
    <w:rsid w:val="00006242"/>
    <w:rsid w:val="00006258"/>
    <w:rsid w:val="000062DF"/>
    <w:rsid w:val="00006BB6"/>
    <w:rsid w:val="00007017"/>
    <w:rsid w:val="000074A6"/>
    <w:rsid w:val="000076C4"/>
    <w:rsid w:val="00007812"/>
    <w:rsid w:val="00007F34"/>
    <w:rsid w:val="00007F63"/>
    <w:rsid w:val="0001019B"/>
    <w:rsid w:val="000101FC"/>
    <w:rsid w:val="00010662"/>
    <w:rsid w:val="0001069D"/>
    <w:rsid w:val="00010BF9"/>
    <w:rsid w:val="00010C4D"/>
    <w:rsid w:val="00010E9C"/>
    <w:rsid w:val="000111D6"/>
    <w:rsid w:val="00011248"/>
    <w:rsid w:val="00011265"/>
    <w:rsid w:val="0001151C"/>
    <w:rsid w:val="00011535"/>
    <w:rsid w:val="0001161C"/>
    <w:rsid w:val="00011CEA"/>
    <w:rsid w:val="0001220D"/>
    <w:rsid w:val="00012222"/>
    <w:rsid w:val="000122FE"/>
    <w:rsid w:val="000124AD"/>
    <w:rsid w:val="0001251D"/>
    <w:rsid w:val="00012A5C"/>
    <w:rsid w:val="00012BD3"/>
    <w:rsid w:val="00012C8D"/>
    <w:rsid w:val="00012C99"/>
    <w:rsid w:val="00012D9B"/>
    <w:rsid w:val="00012DC3"/>
    <w:rsid w:val="000131AB"/>
    <w:rsid w:val="00013338"/>
    <w:rsid w:val="000133C9"/>
    <w:rsid w:val="00013475"/>
    <w:rsid w:val="000138D1"/>
    <w:rsid w:val="00013E7A"/>
    <w:rsid w:val="00013F37"/>
    <w:rsid w:val="00014018"/>
    <w:rsid w:val="0001467E"/>
    <w:rsid w:val="000147F5"/>
    <w:rsid w:val="00014D59"/>
    <w:rsid w:val="00014EA1"/>
    <w:rsid w:val="00014EE2"/>
    <w:rsid w:val="00014F04"/>
    <w:rsid w:val="00015995"/>
    <w:rsid w:val="00015E79"/>
    <w:rsid w:val="00016047"/>
    <w:rsid w:val="00016446"/>
    <w:rsid w:val="000164F7"/>
    <w:rsid w:val="0001655A"/>
    <w:rsid w:val="00016D4B"/>
    <w:rsid w:val="00017066"/>
    <w:rsid w:val="0001752F"/>
    <w:rsid w:val="0001764B"/>
    <w:rsid w:val="00017D24"/>
    <w:rsid w:val="00017E9C"/>
    <w:rsid w:val="00020602"/>
    <w:rsid w:val="00020724"/>
    <w:rsid w:val="000208AC"/>
    <w:rsid w:val="00020916"/>
    <w:rsid w:val="00020B9E"/>
    <w:rsid w:val="00020C30"/>
    <w:rsid w:val="00020E8F"/>
    <w:rsid w:val="00021114"/>
    <w:rsid w:val="00021164"/>
    <w:rsid w:val="000215BB"/>
    <w:rsid w:val="00021E12"/>
    <w:rsid w:val="00021E37"/>
    <w:rsid w:val="00021F52"/>
    <w:rsid w:val="00022318"/>
    <w:rsid w:val="000229BA"/>
    <w:rsid w:val="00022B75"/>
    <w:rsid w:val="00022F63"/>
    <w:rsid w:val="0002306E"/>
    <w:rsid w:val="0002380A"/>
    <w:rsid w:val="00023A05"/>
    <w:rsid w:val="00023BE3"/>
    <w:rsid w:val="00023F6C"/>
    <w:rsid w:val="00023FC7"/>
    <w:rsid w:val="00024039"/>
    <w:rsid w:val="00024153"/>
    <w:rsid w:val="000241B1"/>
    <w:rsid w:val="00024286"/>
    <w:rsid w:val="00024639"/>
    <w:rsid w:val="00024790"/>
    <w:rsid w:val="0002488A"/>
    <w:rsid w:val="00024CED"/>
    <w:rsid w:val="000253FC"/>
    <w:rsid w:val="00025622"/>
    <w:rsid w:val="000257B2"/>
    <w:rsid w:val="0002588A"/>
    <w:rsid w:val="00025A42"/>
    <w:rsid w:val="00025C42"/>
    <w:rsid w:val="00025DCE"/>
    <w:rsid w:val="00026854"/>
    <w:rsid w:val="00026A9E"/>
    <w:rsid w:val="00026B4A"/>
    <w:rsid w:val="00026DE2"/>
    <w:rsid w:val="00026EA9"/>
    <w:rsid w:val="0002712C"/>
    <w:rsid w:val="000271A4"/>
    <w:rsid w:val="000271F7"/>
    <w:rsid w:val="00027314"/>
    <w:rsid w:val="000275E9"/>
    <w:rsid w:val="00027891"/>
    <w:rsid w:val="00027B7D"/>
    <w:rsid w:val="00027BD3"/>
    <w:rsid w:val="00027FF9"/>
    <w:rsid w:val="000301E3"/>
    <w:rsid w:val="00030325"/>
    <w:rsid w:val="000303D2"/>
    <w:rsid w:val="000306CC"/>
    <w:rsid w:val="00030775"/>
    <w:rsid w:val="00030862"/>
    <w:rsid w:val="000308CB"/>
    <w:rsid w:val="00030F8C"/>
    <w:rsid w:val="00031155"/>
    <w:rsid w:val="000311CF"/>
    <w:rsid w:val="000316C7"/>
    <w:rsid w:val="00031977"/>
    <w:rsid w:val="000319C5"/>
    <w:rsid w:val="00031B3C"/>
    <w:rsid w:val="00031B68"/>
    <w:rsid w:val="00031B74"/>
    <w:rsid w:val="00031D66"/>
    <w:rsid w:val="0003222C"/>
    <w:rsid w:val="000326E5"/>
    <w:rsid w:val="00032E8B"/>
    <w:rsid w:val="000330B4"/>
    <w:rsid w:val="0003310F"/>
    <w:rsid w:val="00033351"/>
    <w:rsid w:val="0003376D"/>
    <w:rsid w:val="0003381B"/>
    <w:rsid w:val="0003398D"/>
    <w:rsid w:val="00033A5B"/>
    <w:rsid w:val="00033B94"/>
    <w:rsid w:val="00033BF9"/>
    <w:rsid w:val="00033DDA"/>
    <w:rsid w:val="00033E61"/>
    <w:rsid w:val="00033F01"/>
    <w:rsid w:val="00033F87"/>
    <w:rsid w:val="0003406C"/>
    <w:rsid w:val="00034097"/>
    <w:rsid w:val="00034413"/>
    <w:rsid w:val="000346CF"/>
    <w:rsid w:val="00034A24"/>
    <w:rsid w:val="00034A99"/>
    <w:rsid w:val="00034BE1"/>
    <w:rsid w:val="00034BED"/>
    <w:rsid w:val="00034C6B"/>
    <w:rsid w:val="00035553"/>
    <w:rsid w:val="000355E7"/>
    <w:rsid w:val="00035692"/>
    <w:rsid w:val="00035773"/>
    <w:rsid w:val="00035829"/>
    <w:rsid w:val="0003593A"/>
    <w:rsid w:val="00035B8F"/>
    <w:rsid w:val="00035BD7"/>
    <w:rsid w:val="00035CEC"/>
    <w:rsid w:val="00035D68"/>
    <w:rsid w:val="00035F25"/>
    <w:rsid w:val="000360ED"/>
    <w:rsid w:val="000361DC"/>
    <w:rsid w:val="000363BE"/>
    <w:rsid w:val="00036510"/>
    <w:rsid w:val="00036517"/>
    <w:rsid w:val="0003679F"/>
    <w:rsid w:val="00036846"/>
    <w:rsid w:val="00036B1C"/>
    <w:rsid w:val="000370B5"/>
    <w:rsid w:val="000370C6"/>
    <w:rsid w:val="00037103"/>
    <w:rsid w:val="000372EC"/>
    <w:rsid w:val="00037448"/>
    <w:rsid w:val="00037788"/>
    <w:rsid w:val="00037A96"/>
    <w:rsid w:val="00037B72"/>
    <w:rsid w:val="00037D88"/>
    <w:rsid w:val="000400D4"/>
    <w:rsid w:val="000402BA"/>
    <w:rsid w:val="00040397"/>
    <w:rsid w:val="000405A7"/>
    <w:rsid w:val="0004088F"/>
    <w:rsid w:val="000408CA"/>
    <w:rsid w:val="00040951"/>
    <w:rsid w:val="00041327"/>
    <w:rsid w:val="00041605"/>
    <w:rsid w:val="000416B0"/>
    <w:rsid w:val="00041720"/>
    <w:rsid w:val="0004197C"/>
    <w:rsid w:val="00041AAF"/>
    <w:rsid w:val="00041B30"/>
    <w:rsid w:val="00041CA4"/>
    <w:rsid w:val="0004203A"/>
    <w:rsid w:val="00042222"/>
    <w:rsid w:val="000422CF"/>
    <w:rsid w:val="000422DD"/>
    <w:rsid w:val="00042310"/>
    <w:rsid w:val="000424D1"/>
    <w:rsid w:val="00042AA8"/>
    <w:rsid w:val="0004323E"/>
    <w:rsid w:val="0004346A"/>
    <w:rsid w:val="00043673"/>
    <w:rsid w:val="00043815"/>
    <w:rsid w:val="00043994"/>
    <w:rsid w:val="00043AF9"/>
    <w:rsid w:val="000440A3"/>
    <w:rsid w:val="0004420E"/>
    <w:rsid w:val="00044299"/>
    <w:rsid w:val="00044358"/>
    <w:rsid w:val="000447DD"/>
    <w:rsid w:val="000448AE"/>
    <w:rsid w:val="00044A9A"/>
    <w:rsid w:val="000454F0"/>
    <w:rsid w:val="0004554C"/>
    <w:rsid w:val="000456AE"/>
    <w:rsid w:val="00045A15"/>
    <w:rsid w:val="00045FD9"/>
    <w:rsid w:val="00046120"/>
    <w:rsid w:val="0004619D"/>
    <w:rsid w:val="000461FD"/>
    <w:rsid w:val="0004635A"/>
    <w:rsid w:val="0004642E"/>
    <w:rsid w:val="00046453"/>
    <w:rsid w:val="00046915"/>
    <w:rsid w:val="00046A16"/>
    <w:rsid w:val="00046CAB"/>
    <w:rsid w:val="00046EFF"/>
    <w:rsid w:val="000470DC"/>
    <w:rsid w:val="00047174"/>
    <w:rsid w:val="000471AA"/>
    <w:rsid w:val="00047506"/>
    <w:rsid w:val="0004765B"/>
    <w:rsid w:val="00047D29"/>
    <w:rsid w:val="00050006"/>
    <w:rsid w:val="00050048"/>
    <w:rsid w:val="000500EC"/>
    <w:rsid w:val="00050602"/>
    <w:rsid w:val="00050640"/>
    <w:rsid w:val="000506C9"/>
    <w:rsid w:val="00050D2D"/>
    <w:rsid w:val="00050DBA"/>
    <w:rsid w:val="00051350"/>
    <w:rsid w:val="00051358"/>
    <w:rsid w:val="0005143D"/>
    <w:rsid w:val="00051548"/>
    <w:rsid w:val="0005160A"/>
    <w:rsid w:val="0005166D"/>
    <w:rsid w:val="000519C7"/>
    <w:rsid w:val="00051B35"/>
    <w:rsid w:val="00051CD6"/>
    <w:rsid w:val="00051D53"/>
    <w:rsid w:val="0005224C"/>
    <w:rsid w:val="0005258B"/>
    <w:rsid w:val="0005262F"/>
    <w:rsid w:val="000527A7"/>
    <w:rsid w:val="000528E3"/>
    <w:rsid w:val="00052DC2"/>
    <w:rsid w:val="0005315B"/>
    <w:rsid w:val="000533CA"/>
    <w:rsid w:val="00053627"/>
    <w:rsid w:val="000536DA"/>
    <w:rsid w:val="00053ADA"/>
    <w:rsid w:val="00053BDB"/>
    <w:rsid w:val="00053C78"/>
    <w:rsid w:val="00054137"/>
    <w:rsid w:val="00054481"/>
    <w:rsid w:val="0005448B"/>
    <w:rsid w:val="00054556"/>
    <w:rsid w:val="000545DA"/>
    <w:rsid w:val="000546F2"/>
    <w:rsid w:val="00054939"/>
    <w:rsid w:val="00054C70"/>
    <w:rsid w:val="00054E17"/>
    <w:rsid w:val="00054EC4"/>
    <w:rsid w:val="00054FC4"/>
    <w:rsid w:val="00055221"/>
    <w:rsid w:val="000553BC"/>
    <w:rsid w:val="0005596E"/>
    <w:rsid w:val="000559DC"/>
    <w:rsid w:val="00055AF3"/>
    <w:rsid w:val="000560D5"/>
    <w:rsid w:val="00056312"/>
    <w:rsid w:val="00056359"/>
    <w:rsid w:val="00056361"/>
    <w:rsid w:val="000565B6"/>
    <w:rsid w:val="00056640"/>
    <w:rsid w:val="00056653"/>
    <w:rsid w:val="00056711"/>
    <w:rsid w:val="00056A24"/>
    <w:rsid w:val="00056F38"/>
    <w:rsid w:val="000570A5"/>
    <w:rsid w:val="000573EE"/>
    <w:rsid w:val="00057AB1"/>
    <w:rsid w:val="00057B4E"/>
    <w:rsid w:val="00057C4F"/>
    <w:rsid w:val="00057D02"/>
    <w:rsid w:val="00057D69"/>
    <w:rsid w:val="00060103"/>
    <w:rsid w:val="00060334"/>
    <w:rsid w:val="000608EB"/>
    <w:rsid w:val="00060A72"/>
    <w:rsid w:val="00060CA1"/>
    <w:rsid w:val="00060D7F"/>
    <w:rsid w:val="00060DB0"/>
    <w:rsid w:val="000610A6"/>
    <w:rsid w:val="00061249"/>
    <w:rsid w:val="000612E9"/>
    <w:rsid w:val="0006140E"/>
    <w:rsid w:val="000617BF"/>
    <w:rsid w:val="00061843"/>
    <w:rsid w:val="000618C0"/>
    <w:rsid w:val="00061ECA"/>
    <w:rsid w:val="00061F41"/>
    <w:rsid w:val="00061FEB"/>
    <w:rsid w:val="00062130"/>
    <w:rsid w:val="000621E6"/>
    <w:rsid w:val="00062279"/>
    <w:rsid w:val="000628E2"/>
    <w:rsid w:val="00062987"/>
    <w:rsid w:val="00062B39"/>
    <w:rsid w:val="00062DFC"/>
    <w:rsid w:val="00062ECA"/>
    <w:rsid w:val="000632AE"/>
    <w:rsid w:val="00063684"/>
    <w:rsid w:val="00063728"/>
    <w:rsid w:val="00063827"/>
    <w:rsid w:val="00063905"/>
    <w:rsid w:val="000639E1"/>
    <w:rsid w:val="00063B8F"/>
    <w:rsid w:val="00063C43"/>
    <w:rsid w:val="00063EB4"/>
    <w:rsid w:val="000644D3"/>
    <w:rsid w:val="00064510"/>
    <w:rsid w:val="00064940"/>
    <w:rsid w:val="00064A71"/>
    <w:rsid w:val="00064C4B"/>
    <w:rsid w:val="00065918"/>
    <w:rsid w:val="00065960"/>
    <w:rsid w:val="00065AA4"/>
    <w:rsid w:val="00065C9A"/>
    <w:rsid w:val="00065F92"/>
    <w:rsid w:val="000660E3"/>
    <w:rsid w:val="0006635C"/>
    <w:rsid w:val="000664FC"/>
    <w:rsid w:val="000670F2"/>
    <w:rsid w:val="00067133"/>
    <w:rsid w:val="0006773B"/>
    <w:rsid w:val="00067B11"/>
    <w:rsid w:val="00067C72"/>
    <w:rsid w:val="000702CD"/>
    <w:rsid w:val="000705E4"/>
    <w:rsid w:val="00070D1D"/>
    <w:rsid w:val="00070E04"/>
    <w:rsid w:val="00070F8D"/>
    <w:rsid w:val="0007101B"/>
    <w:rsid w:val="00071049"/>
    <w:rsid w:val="000711A9"/>
    <w:rsid w:val="00071377"/>
    <w:rsid w:val="000715EB"/>
    <w:rsid w:val="0007162E"/>
    <w:rsid w:val="00071637"/>
    <w:rsid w:val="00071719"/>
    <w:rsid w:val="000724CE"/>
    <w:rsid w:val="000726F3"/>
    <w:rsid w:val="00072E2E"/>
    <w:rsid w:val="00072FA4"/>
    <w:rsid w:val="000730AC"/>
    <w:rsid w:val="000731A9"/>
    <w:rsid w:val="000731C9"/>
    <w:rsid w:val="000732F9"/>
    <w:rsid w:val="00073391"/>
    <w:rsid w:val="00073424"/>
    <w:rsid w:val="00073439"/>
    <w:rsid w:val="00073A0C"/>
    <w:rsid w:val="00073A0E"/>
    <w:rsid w:val="00073ADB"/>
    <w:rsid w:val="00073D56"/>
    <w:rsid w:val="00073E03"/>
    <w:rsid w:val="00073FAC"/>
    <w:rsid w:val="00074268"/>
    <w:rsid w:val="000743F5"/>
    <w:rsid w:val="00074BB1"/>
    <w:rsid w:val="00074EA0"/>
    <w:rsid w:val="00074F6F"/>
    <w:rsid w:val="000754C4"/>
    <w:rsid w:val="00075748"/>
    <w:rsid w:val="000758A6"/>
    <w:rsid w:val="00075957"/>
    <w:rsid w:val="00075A98"/>
    <w:rsid w:val="00076267"/>
    <w:rsid w:val="0007631E"/>
    <w:rsid w:val="00076752"/>
    <w:rsid w:val="0007677A"/>
    <w:rsid w:val="000769BC"/>
    <w:rsid w:val="00076A3E"/>
    <w:rsid w:val="00076D72"/>
    <w:rsid w:val="00076F76"/>
    <w:rsid w:val="00077215"/>
    <w:rsid w:val="0007731F"/>
    <w:rsid w:val="0007754C"/>
    <w:rsid w:val="00077B93"/>
    <w:rsid w:val="00077BA6"/>
    <w:rsid w:val="00077F03"/>
    <w:rsid w:val="00080068"/>
    <w:rsid w:val="00080125"/>
    <w:rsid w:val="00080763"/>
    <w:rsid w:val="0008080B"/>
    <w:rsid w:val="00080CB9"/>
    <w:rsid w:val="00081294"/>
    <w:rsid w:val="000812BC"/>
    <w:rsid w:val="000814D6"/>
    <w:rsid w:val="000814F5"/>
    <w:rsid w:val="000815B8"/>
    <w:rsid w:val="00081708"/>
    <w:rsid w:val="00081868"/>
    <w:rsid w:val="00081BEC"/>
    <w:rsid w:val="00081C37"/>
    <w:rsid w:val="00081E0F"/>
    <w:rsid w:val="00082561"/>
    <w:rsid w:val="000825E6"/>
    <w:rsid w:val="000826C7"/>
    <w:rsid w:val="0008284D"/>
    <w:rsid w:val="000828B7"/>
    <w:rsid w:val="000828EC"/>
    <w:rsid w:val="000829A3"/>
    <w:rsid w:val="000833D5"/>
    <w:rsid w:val="000835A6"/>
    <w:rsid w:val="0008383A"/>
    <w:rsid w:val="0008394D"/>
    <w:rsid w:val="00083CC4"/>
    <w:rsid w:val="00083FAA"/>
    <w:rsid w:val="000844A8"/>
    <w:rsid w:val="000844E4"/>
    <w:rsid w:val="00084718"/>
    <w:rsid w:val="000847F4"/>
    <w:rsid w:val="00084CAD"/>
    <w:rsid w:val="00084EA6"/>
    <w:rsid w:val="00085529"/>
    <w:rsid w:val="00085872"/>
    <w:rsid w:val="000859AF"/>
    <w:rsid w:val="000859EF"/>
    <w:rsid w:val="00085DEA"/>
    <w:rsid w:val="00085EFB"/>
    <w:rsid w:val="00085F93"/>
    <w:rsid w:val="00086670"/>
    <w:rsid w:val="00086A23"/>
    <w:rsid w:val="00086B32"/>
    <w:rsid w:val="00086BC8"/>
    <w:rsid w:val="00086D3D"/>
    <w:rsid w:val="00086E9D"/>
    <w:rsid w:val="00086FEC"/>
    <w:rsid w:val="0008780E"/>
    <w:rsid w:val="0008785D"/>
    <w:rsid w:val="000879B3"/>
    <w:rsid w:val="000902DA"/>
    <w:rsid w:val="00090CA6"/>
    <w:rsid w:val="00090EA3"/>
    <w:rsid w:val="00090F66"/>
    <w:rsid w:val="000910A0"/>
    <w:rsid w:val="0009130E"/>
    <w:rsid w:val="0009149E"/>
    <w:rsid w:val="000919E0"/>
    <w:rsid w:val="00091E7C"/>
    <w:rsid w:val="00091F83"/>
    <w:rsid w:val="0009242C"/>
    <w:rsid w:val="000925D1"/>
    <w:rsid w:val="00092717"/>
    <w:rsid w:val="00092A55"/>
    <w:rsid w:val="00092C2A"/>
    <w:rsid w:val="00092CBE"/>
    <w:rsid w:val="0009323E"/>
    <w:rsid w:val="00093320"/>
    <w:rsid w:val="0009333A"/>
    <w:rsid w:val="00093887"/>
    <w:rsid w:val="000938E7"/>
    <w:rsid w:val="00093A74"/>
    <w:rsid w:val="0009419D"/>
    <w:rsid w:val="00094412"/>
    <w:rsid w:val="000944E0"/>
    <w:rsid w:val="0009467C"/>
    <w:rsid w:val="00094A1B"/>
    <w:rsid w:val="00094C04"/>
    <w:rsid w:val="000950C4"/>
    <w:rsid w:val="00095118"/>
    <w:rsid w:val="00095684"/>
    <w:rsid w:val="000959C6"/>
    <w:rsid w:val="00095A47"/>
    <w:rsid w:val="00095B30"/>
    <w:rsid w:val="00095EEC"/>
    <w:rsid w:val="00095FDF"/>
    <w:rsid w:val="00096252"/>
    <w:rsid w:val="000963B1"/>
    <w:rsid w:val="000966EA"/>
    <w:rsid w:val="0009675F"/>
    <w:rsid w:val="00096923"/>
    <w:rsid w:val="00096928"/>
    <w:rsid w:val="00096AA3"/>
    <w:rsid w:val="00096BE9"/>
    <w:rsid w:val="00096D0C"/>
    <w:rsid w:val="00096F41"/>
    <w:rsid w:val="0009768C"/>
    <w:rsid w:val="00097AF4"/>
    <w:rsid w:val="00097B1C"/>
    <w:rsid w:val="000A0176"/>
    <w:rsid w:val="000A0198"/>
    <w:rsid w:val="000A05D2"/>
    <w:rsid w:val="000A0631"/>
    <w:rsid w:val="000A073D"/>
    <w:rsid w:val="000A0D67"/>
    <w:rsid w:val="000A0FC9"/>
    <w:rsid w:val="000A1106"/>
    <w:rsid w:val="000A1258"/>
    <w:rsid w:val="000A1360"/>
    <w:rsid w:val="000A1495"/>
    <w:rsid w:val="000A1639"/>
    <w:rsid w:val="000A176C"/>
    <w:rsid w:val="000A1811"/>
    <w:rsid w:val="000A1CE0"/>
    <w:rsid w:val="000A287C"/>
    <w:rsid w:val="000A28A8"/>
    <w:rsid w:val="000A2AB8"/>
    <w:rsid w:val="000A2B98"/>
    <w:rsid w:val="000A2E58"/>
    <w:rsid w:val="000A30E0"/>
    <w:rsid w:val="000A333B"/>
    <w:rsid w:val="000A371F"/>
    <w:rsid w:val="000A3854"/>
    <w:rsid w:val="000A39E5"/>
    <w:rsid w:val="000A3B04"/>
    <w:rsid w:val="000A3D14"/>
    <w:rsid w:val="000A49AB"/>
    <w:rsid w:val="000A4A38"/>
    <w:rsid w:val="000A4AE7"/>
    <w:rsid w:val="000A4D10"/>
    <w:rsid w:val="000A4E30"/>
    <w:rsid w:val="000A4FFC"/>
    <w:rsid w:val="000A51E5"/>
    <w:rsid w:val="000A5884"/>
    <w:rsid w:val="000A5F54"/>
    <w:rsid w:val="000A6037"/>
    <w:rsid w:val="000A6945"/>
    <w:rsid w:val="000A6C93"/>
    <w:rsid w:val="000A6E21"/>
    <w:rsid w:val="000A6FBD"/>
    <w:rsid w:val="000A7096"/>
    <w:rsid w:val="000A717F"/>
    <w:rsid w:val="000A73E9"/>
    <w:rsid w:val="000A76E4"/>
    <w:rsid w:val="000A77FF"/>
    <w:rsid w:val="000A7C87"/>
    <w:rsid w:val="000B009F"/>
    <w:rsid w:val="000B026E"/>
    <w:rsid w:val="000B09C3"/>
    <w:rsid w:val="000B0B2E"/>
    <w:rsid w:val="000B0CBC"/>
    <w:rsid w:val="000B0F3B"/>
    <w:rsid w:val="000B12DC"/>
    <w:rsid w:val="000B14DF"/>
    <w:rsid w:val="000B1612"/>
    <w:rsid w:val="000B16B9"/>
    <w:rsid w:val="000B1875"/>
    <w:rsid w:val="000B1900"/>
    <w:rsid w:val="000B1A87"/>
    <w:rsid w:val="000B1C2F"/>
    <w:rsid w:val="000B1EC4"/>
    <w:rsid w:val="000B1F96"/>
    <w:rsid w:val="000B2280"/>
    <w:rsid w:val="000B2904"/>
    <w:rsid w:val="000B2ED2"/>
    <w:rsid w:val="000B34C5"/>
    <w:rsid w:val="000B368F"/>
    <w:rsid w:val="000B3868"/>
    <w:rsid w:val="000B3A4B"/>
    <w:rsid w:val="000B3CCF"/>
    <w:rsid w:val="000B3E6C"/>
    <w:rsid w:val="000B4029"/>
    <w:rsid w:val="000B4316"/>
    <w:rsid w:val="000B44EE"/>
    <w:rsid w:val="000B4792"/>
    <w:rsid w:val="000B47A1"/>
    <w:rsid w:val="000B487D"/>
    <w:rsid w:val="000B48B8"/>
    <w:rsid w:val="000B4995"/>
    <w:rsid w:val="000B4A79"/>
    <w:rsid w:val="000B4B4E"/>
    <w:rsid w:val="000B4BEC"/>
    <w:rsid w:val="000B5128"/>
    <w:rsid w:val="000B52D2"/>
    <w:rsid w:val="000B5320"/>
    <w:rsid w:val="000B5921"/>
    <w:rsid w:val="000B5EA2"/>
    <w:rsid w:val="000B5ECE"/>
    <w:rsid w:val="000B6361"/>
    <w:rsid w:val="000B68CE"/>
    <w:rsid w:val="000B6B01"/>
    <w:rsid w:val="000B6C23"/>
    <w:rsid w:val="000B7160"/>
    <w:rsid w:val="000B76BC"/>
    <w:rsid w:val="000B788C"/>
    <w:rsid w:val="000B7A70"/>
    <w:rsid w:val="000B7B59"/>
    <w:rsid w:val="000B7C49"/>
    <w:rsid w:val="000B7CAB"/>
    <w:rsid w:val="000B7DBE"/>
    <w:rsid w:val="000C008B"/>
    <w:rsid w:val="000C013D"/>
    <w:rsid w:val="000C0283"/>
    <w:rsid w:val="000C03C3"/>
    <w:rsid w:val="000C054A"/>
    <w:rsid w:val="000C0565"/>
    <w:rsid w:val="000C09B4"/>
    <w:rsid w:val="000C0B68"/>
    <w:rsid w:val="000C0DDE"/>
    <w:rsid w:val="000C122F"/>
    <w:rsid w:val="000C1345"/>
    <w:rsid w:val="000C14BA"/>
    <w:rsid w:val="000C1817"/>
    <w:rsid w:val="000C18EF"/>
    <w:rsid w:val="000C1B76"/>
    <w:rsid w:val="000C1C39"/>
    <w:rsid w:val="000C1C7E"/>
    <w:rsid w:val="000C1D9B"/>
    <w:rsid w:val="000C220C"/>
    <w:rsid w:val="000C24BF"/>
    <w:rsid w:val="000C2684"/>
    <w:rsid w:val="000C2687"/>
    <w:rsid w:val="000C2AD5"/>
    <w:rsid w:val="000C2CD7"/>
    <w:rsid w:val="000C2EC3"/>
    <w:rsid w:val="000C2F60"/>
    <w:rsid w:val="000C3065"/>
    <w:rsid w:val="000C32F3"/>
    <w:rsid w:val="000C3591"/>
    <w:rsid w:val="000C3779"/>
    <w:rsid w:val="000C37B1"/>
    <w:rsid w:val="000C3B08"/>
    <w:rsid w:val="000C3BD4"/>
    <w:rsid w:val="000C3BF0"/>
    <w:rsid w:val="000C3D97"/>
    <w:rsid w:val="000C3FBF"/>
    <w:rsid w:val="000C40C8"/>
    <w:rsid w:val="000C4E6C"/>
    <w:rsid w:val="000C4EC3"/>
    <w:rsid w:val="000C4F05"/>
    <w:rsid w:val="000C4FE0"/>
    <w:rsid w:val="000C516A"/>
    <w:rsid w:val="000C51D7"/>
    <w:rsid w:val="000C5220"/>
    <w:rsid w:val="000C5489"/>
    <w:rsid w:val="000C57C9"/>
    <w:rsid w:val="000C5B90"/>
    <w:rsid w:val="000C5C7C"/>
    <w:rsid w:val="000C6043"/>
    <w:rsid w:val="000C6375"/>
    <w:rsid w:val="000C6537"/>
    <w:rsid w:val="000C69DB"/>
    <w:rsid w:val="000C6A2D"/>
    <w:rsid w:val="000C6C99"/>
    <w:rsid w:val="000C7312"/>
    <w:rsid w:val="000C758E"/>
    <w:rsid w:val="000C76C8"/>
    <w:rsid w:val="000C793A"/>
    <w:rsid w:val="000C79C2"/>
    <w:rsid w:val="000C79D6"/>
    <w:rsid w:val="000C7AD9"/>
    <w:rsid w:val="000C7D08"/>
    <w:rsid w:val="000D0110"/>
    <w:rsid w:val="000D03A1"/>
    <w:rsid w:val="000D060E"/>
    <w:rsid w:val="000D0848"/>
    <w:rsid w:val="000D0BF0"/>
    <w:rsid w:val="000D0CAA"/>
    <w:rsid w:val="000D15D4"/>
    <w:rsid w:val="000D1E7E"/>
    <w:rsid w:val="000D1F26"/>
    <w:rsid w:val="000D1F84"/>
    <w:rsid w:val="000D21C8"/>
    <w:rsid w:val="000D23DA"/>
    <w:rsid w:val="000D24D8"/>
    <w:rsid w:val="000D2626"/>
    <w:rsid w:val="000D2684"/>
    <w:rsid w:val="000D28AB"/>
    <w:rsid w:val="000D351E"/>
    <w:rsid w:val="000D352C"/>
    <w:rsid w:val="000D3736"/>
    <w:rsid w:val="000D3801"/>
    <w:rsid w:val="000D3D42"/>
    <w:rsid w:val="000D3EBB"/>
    <w:rsid w:val="000D4011"/>
    <w:rsid w:val="000D40B3"/>
    <w:rsid w:val="000D413E"/>
    <w:rsid w:val="000D43F9"/>
    <w:rsid w:val="000D472F"/>
    <w:rsid w:val="000D4991"/>
    <w:rsid w:val="000D4A85"/>
    <w:rsid w:val="000D4A88"/>
    <w:rsid w:val="000D4A8D"/>
    <w:rsid w:val="000D4BAF"/>
    <w:rsid w:val="000D4D1C"/>
    <w:rsid w:val="000D5373"/>
    <w:rsid w:val="000D55DF"/>
    <w:rsid w:val="000D590E"/>
    <w:rsid w:val="000D5D0D"/>
    <w:rsid w:val="000D622F"/>
    <w:rsid w:val="000D6354"/>
    <w:rsid w:val="000D644E"/>
    <w:rsid w:val="000D6583"/>
    <w:rsid w:val="000D67B5"/>
    <w:rsid w:val="000D69B3"/>
    <w:rsid w:val="000D6D3B"/>
    <w:rsid w:val="000D748B"/>
    <w:rsid w:val="000D74DF"/>
    <w:rsid w:val="000D7503"/>
    <w:rsid w:val="000D76BE"/>
    <w:rsid w:val="000D7791"/>
    <w:rsid w:val="000D7B61"/>
    <w:rsid w:val="000E0062"/>
    <w:rsid w:val="000E015F"/>
    <w:rsid w:val="000E01E7"/>
    <w:rsid w:val="000E0474"/>
    <w:rsid w:val="000E05A3"/>
    <w:rsid w:val="000E08C7"/>
    <w:rsid w:val="000E0ABD"/>
    <w:rsid w:val="000E0BB4"/>
    <w:rsid w:val="000E0D49"/>
    <w:rsid w:val="000E0E6B"/>
    <w:rsid w:val="000E119B"/>
    <w:rsid w:val="000E1434"/>
    <w:rsid w:val="000E16AD"/>
    <w:rsid w:val="000E17D8"/>
    <w:rsid w:val="000E1A98"/>
    <w:rsid w:val="000E1B8F"/>
    <w:rsid w:val="000E1D62"/>
    <w:rsid w:val="000E2017"/>
    <w:rsid w:val="000E210F"/>
    <w:rsid w:val="000E2212"/>
    <w:rsid w:val="000E2842"/>
    <w:rsid w:val="000E2C2E"/>
    <w:rsid w:val="000E2EC3"/>
    <w:rsid w:val="000E3329"/>
    <w:rsid w:val="000E3AAA"/>
    <w:rsid w:val="000E3F62"/>
    <w:rsid w:val="000E406D"/>
    <w:rsid w:val="000E409F"/>
    <w:rsid w:val="000E4545"/>
    <w:rsid w:val="000E454F"/>
    <w:rsid w:val="000E47D0"/>
    <w:rsid w:val="000E48E1"/>
    <w:rsid w:val="000E4C36"/>
    <w:rsid w:val="000E4C38"/>
    <w:rsid w:val="000E4DE5"/>
    <w:rsid w:val="000E4FE1"/>
    <w:rsid w:val="000E547B"/>
    <w:rsid w:val="000E551B"/>
    <w:rsid w:val="000E55C5"/>
    <w:rsid w:val="000E5892"/>
    <w:rsid w:val="000E5A5A"/>
    <w:rsid w:val="000E5BBD"/>
    <w:rsid w:val="000E5C06"/>
    <w:rsid w:val="000E5CC0"/>
    <w:rsid w:val="000E5E78"/>
    <w:rsid w:val="000E602E"/>
    <w:rsid w:val="000E6079"/>
    <w:rsid w:val="000E6289"/>
    <w:rsid w:val="000E633F"/>
    <w:rsid w:val="000E63DB"/>
    <w:rsid w:val="000E6415"/>
    <w:rsid w:val="000E6423"/>
    <w:rsid w:val="000E6B4D"/>
    <w:rsid w:val="000E6EED"/>
    <w:rsid w:val="000E6FDA"/>
    <w:rsid w:val="000E71A2"/>
    <w:rsid w:val="000E74AA"/>
    <w:rsid w:val="000E76D2"/>
    <w:rsid w:val="000E7760"/>
    <w:rsid w:val="000F00D5"/>
    <w:rsid w:val="000F0204"/>
    <w:rsid w:val="000F06A1"/>
    <w:rsid w:val="000F092B"/>
    <w:rsid w:val="000F0A88"/>
    <w:rsid w:val="000F0A9E"/>
    <w:rsid w:val="000F0AB5"/>
    <w:rsid w:val="000F10A1"/>
    <w:rsid w:val="000F12EE"/>
    <w:rsid w:val="000F13FC"/>
    <w:rsid w:val="000F1A81"/>
    <w:rsid w:val="000F1CAE"/>
    <w:rsid w:val="000F1DB9"/>
    <w:rsid w:val="000F1F48"/>
    <w:rsid w:val="000F2257"/>
    <w:rsid w:val="000F228B"/>
    <w:rsid w:val="000F2602"/>
    <w:rsid w:val="000F2C93"/>
    <w:rsid w:val="000F2ED2"/>
    <w:rsid w:val="000F2FD8"/>
    <w:rsid w:val="000F32BA"/>
    <w:rsid w:val="000F32DC"/>
    <w:rsid w:val="000F33D0"/>
    <w:rsid w:val="000F3517"/>
    <w:rsid w:val="000F37A3"/>
    <w:rsid w:val="000F3A37"/>
    <w:rsid w:val="000F3A8F"/>
    <w:rsid w:val="000F3D09"/>
    <w:rsid w:val="000F421D"/>
    <w:rsid w:val="000F43C0"/>
    <w:rsid w:val="000F4488"/>
    <w:rsid w:val="000F471E"/>
    <w:rsid w:val="000F59EC"/>
    <w:rsid w:val="000F5A94"/>
    <w:rsid w:val="000F5CAE"/>
    <w:rsid w:val="000F5FF9"/>
    <w:rsid w:val="000F6321"/>
    <w:rsid w:val="000F6629"/>
    <w:rsid w:val="000F674D"/>
    <w:rsid w:val="000F679D"/>
    <w:rsid w:val="000F6C37"/>
    <w:rsid w:val="000F6DF2"/>
    <w:rsid w:val="000F6E40"/>
    <w:rsid w:val="000F7DEA"/>
    <w:rsid w:val="001002FD"/>
    <w:rsid w:val="00100366"/>
    <w:rsid w:val="001003EE"/>
    <w:rsid w:val="0010067F"/>
    <w:rsid w:val="00100D2B"/>
    <w:rsid w:val="0010106B"/>
    <w:rsid w:val="001010A1"/>
    <w:rsid w:val="001010D5"/>
    <w:rsid w:val="001013FC"/>
    <w:rsid w:val="001015B7"/>
    <w:rsid w:val="0010182E"/>
    <w:rsid w:val="001018D2"/>
    <w:rsid w:val="00101995"/>
    <w:rsid w:val="001019F3"/>
    <w:rsid w:val="00101F4F"/>
    <w:rsid w:val="0010218C"/>
    <w:rsid w:val="001024F4"/>
    <w:rsid w:val="00102C5A"/>
    <w:rsid w:val="00102C99"/>
    <w:rsid w:val="00102D4D"/>
    <w:rsid w:val="00103167"/>
    <w:rsid w:val="0010356B"/>
    <w:rsid w:val="00103A89"/>
    <w:rsid w:val="00103F4B"/>
    <w:rsid w:val="00103FA6"/>
    <w:rsid w:val="001044A6"/>
    <w:rsid w:val="001044E9"/>
    <w:rsid w:val="001048BC"/>
    <w:rsid w:val="00104AC6"/>
    <w:rsid w:val="00105008"/>
    <w:rsid w:val="00105B70"/>
    <w:rsid w:val="001062C9"/>
    <w:rsid w:val="001063B5"/>
    <w:rsid w:val="001064FF"/>
    <w:rsid w:val="00106889"/>
    <w:rsid w:val="00106BE1"/>
    <w:rsid w:val="0010724E"/>
    <w:rsid w:val="0010741C"/>
    <w:rsid w:val="00107C5F"/>
    <w:rsid w:val="0011008E"/>
    <w:rsid w:val="00110378"/>
    <w:rsid w:val="001103A9"/>
    <w:rsid w:val="001105BD"/>
    <w:rsid w:val="00110946"/>
    <w:rsid w:val="00110A1B"/>
    <w:rsid w:val="00110C0C"/>
    <w:rsid w:val="00110C88"/>
    <w:rsid w:val="00111421"/>
    <w:rsid w:val="00111661"/>
    <w:rsid w:val="00111697"/>
    <w:rsid w:val="00111788"/>
    <w:rsid w:val="00111A39"/>
    <w:rsid w:val="00111AD0"/>
    <w:rsid w:val="0011247E"/>
    <w:rsid w:val="0011267F"/>
    <w:rsid w:val="00112692"/>
    <w:rsid w:val="00112B32"/>
    <w:rsid w:val="00112DEC"/>
    <w:rsid w:val="00112F0D"/>
    <w:rsid w:val="00113271"/>
    <w:rsid w:val="001132FC"/>
    <w:rsid w:val="00113339"/>
    <w:rsid w:val="00113500"/>
    <w:rsid w:val="0011350F"/>
    <w:rsid w:val="00113588"/>
    <w:rsid w:val="001135D1"/>
    <w:rsid w:val="00113685"/>
    <w:rsid w:val="00113B1D"/>
    <w:rsid w:val="001143EF"/>
    <w:rsid w:val="001144F3"/>
    <w:rsid w:val="0011478C"/>
    <w:rsid w:val="00114801"/>
    <w:rsid w:val="00114AF3"/>
    <w:rsid w:val="00114B4B"/>
    <w:rsid w:val="00114BC2"/>
    <w:rsid w:val="0011543E"/>
    <w:rsid w:val="001156C6"/>
    <w:rsid w:val="00115946"/>
    <w:rsid w:val="00115A72"/>
    <w:rsid w:val="00115C43"/>
    <w:rsid w:val="00115FF3"/>
    <w:rsid w:val="00116945"/>
    <w:rsid w:val="00116E54"/>
    <w:rsid w:val="00117078"/>
    <w:rsid w:val="001172D5"/>
    <w:rsid w:val="0011746F"/>
    <w:rsid w:val="001174CC"/>
    <w:rsid w:val="001176B0"/>
    <w:rsid w:val="00117808"/>
    <w:rsid w:val="001179CD"/>
    <w:rsid w:val="0012039B"/>
    <w:rsid w:val="0012043A"/>
    <w:rsid w:val="001204B1"/>
    <w:rsid w:val="00120834"/>
    <w:rsid w:val="00120A89"/>
    <w:rsid w:val="00120BED"/>
    <w:rsid w:val="00120C19"/>
    <w:rsid w:val="00120D1E"/>
    <w:rsid w:val="00120D74"/>
    <w:rsid w:val="0012115F"/>
    <w:rsid w:val="001214A0"/>
    <w:rsid w:val="0012158A"/>
    <w:rsid w:val="001216F5"/>
    <w:rsid w:val="00121D38"/>
    <w:rsid w:val="00121D9A"/>
    <w:rsid w:val="0012271C"/>
    <w:rsid w:val="00122817"/>
    <w:rsid w:val="00122E73"/>
    <w:rsid w:val="00123060"/>
    <w:rsid w:val="001231F7"/>
    <w:rsid w:val="0012326A"/>
    <w:rsid w:val="001235AB"/>
    <w:rsid w:val="001237BB"/>
    <w:rsid w:val="0012394B"/>
    <w:rsid w:val="00123961"/>
    <w:rsid w:val="00123A32"/>
    <w:rsid w:val="00123D41"/>
    <w:rsid w:val="00123E0D"/>
    <w:rsid w:val="00123E5C"/>
    <w:rsid w:val="00123F12"/>
    <w:rsid w:val="00123FFC"/>
    <w:rsid w:val="001240EF"/>
    <w:rsid w:val="00124111"/>
    <w:rsid w:val="0012417D"/>
    <w:rsid w:val="00124398"/>
    <w:rsid w:val="0012468F"/>
    <w:rsid w:val="00124A96"/>
    <w:rsid w:val="00124AC3"/>
    <w:rsid w:val="0012500C"/>
    <w:rsid w:val="0012527B"/>
    <w:rsid w:val="001252D2"/>
    <w:rsid w:val="001253DB"/>
    <w:rsid w:val="001254BF"/>
    <w:rsid w:val="00125796"/>
    <w:rsid w:val="001257A7"/>
    <w:rsid w:val="001257B7"/>
    <w:rsid w:val="00125821"/>
    <w:rsid w:val="00125A5C"/>
    <w:rsid w:val="00125BEC"/>
    <w:rsid w:val="0012617B"/>
    <w:rsid w:val="0012617C"/>
    <w:rsid w:val="00126215"/>
    <w:rsid w:val="00126239"/>
    <w:rsid w:val="00126720"/>
    <w:rsid w:val="00126835"/>
    <w:rsid w:val="00126B44"/>
    <w:rsid w:val="0012700F"/>
    <w:rsid w:val="00127196"/>
    <w:rsid w:val="0012744E"/>
    <w:rsid w:val="00127715"/>
    <w:rsid w:val="00127958"/>
    <w:rsid w:val="00127C07"/>
    <w:rsid w:val="00127C8B"/>
    <w:rsid w:val="0013007B"/>
    <w:rsid w:val="001302E6"/>
    <w:rsid w:val="00130428"/>
    <w:rsid w:val="0013053C"/>
    <w:rsid w:val="00130554"/>
    <w:rsid w:val="00130653"/>
    <w:rsid w:val="001307BA"/>
    <w:rsid w:val="00130DED"/>
    <w:rsid w:val="0013111E"/>
    <w:rsid w:val="0013129E"/>
    <w:rsid w:val="00131754"/>
    <w:rsid w:val="001317CE"/>
    <w:rsid w:val="001318DC"/>
    <w:rsid w:val="00131937"/>
    <w:rsid w:val="001320C5"/>
    <w:rsid w:val="00132379"/>
    <w:rsid w:val="0013241C"/>
    <w:rsid w:val="0013299E"/>
    <w:rsid w:val="00132A71"/>
    <w:rsid w:val="00132D34"/>
    <w:rsid w:val="00132DE5"/>
    <w:rsid w:val="00132E81"/>
    <w:rsid w:val="00132F9E"/>
    <w:rsid w:val="001332EB"/>
    <w:rsid w:val="00133354"/>
    <w:rsid w:val="001334D2"/>
    <w:rsid w:val="00133879"/>
    <w:rsid w:val="00133C34"/>
    <w:rsid w:val="00134711"/>
    <w:rsid w:val="00134C53"/>
    <w:rsid w:val="00134EFE"/>
    <w:rsid w:val="00135532"/>
    <w:rsid w:val="0013567D"/>
    <w:rsid w:val="00135683"/>
    <w:rsid w:val="00135748"/>
    <w:rsid w:val="00135863"/>
    <w:rsid w:val="0013586A"/>
    <w:rsid w:val="00135AB0"/>
    <w:rsid w:val="00135B66"/>
    <w:rsid w:val="001365DF"/>
    <w:rsid w:val="001367A7"/>
    <w:rsid w:val="001367C7"/>
    <w:rsid w:val="001369C0"/>
    <w:rsid w:val="00136F0D"/>
    <w:rsid w:val="00136F45"/>
    <w:rsid w:val="001371E3"/>
    <w:rsid w:val="00137452"/>
    <w:rsid w:val="00137AFF"/>
    <w:rsid w:val="00137C1A"/>
    <w:rsid w:val="00137E29"/>
    <w:rsid w:val="00137EFF"/>
    <w:rsid w:val="00137F22"/>
    <w:rsid w:val="00140161"/>
    <w:rsid w:val="00140319"/>
    <w:rsid w:val="00140355"/>
    <w:rsid w:val="001404A8"/>
    <w:rsid w:val="0014058B"/>
    <w:rsid w:val="00140BD0"/>
    <w:rsid w:val="00140EE8"/>
    <w:rsid w:val="00141685"/>
    <w:rsid w:val="00141982"/>
    <w:rsid w:val="00141B63"/>
    <w:rsid w:val="00141C60"/>
    <w:rsid w:val="00141E35"/>
    <w:rsid w:val="00141EFC"/>
    <w:rsid w:val="00142236"/>
    <w:rsid w:val="00142261"/>
    <w:rsid w:val="00142360"/>
    <w:rsid w:val="00142C30"/>
    <w:rsid w:val="00142D90"/>
    <w:rsid w:val="00142FED"/>
    <w:rsid w:val="00143309"/>
    <w:rsid w:val="00143596"/>
    <w:rsid w:val="00143BA5"/>
    <w:rsid w:val="001442F4"/>
    <w:rsid w:val="0014481E"/>
    <w:rsid w:val="00144A93"/>
    <w:rsid w:val="00144BD1"/>
    <w:rsid w:val="00144E8F"/>
    <w:rsid w:val="001451FD"/>
    <w:rsid w:val="001456AA"/>
    <w:rsid w:val="00145718"/>
    <w:rsid w:val="00145B7B"/>
    <w:rsid w:val="00146383"/>
    <w:rsid w:val="0014642E"/>
    <w:rsid w:val="00146463"/>
    <w:rsid w:val="001464B4"/>
    <w:rsid w:val="001465BB"/>
    <w:rsid w:val="001466A7"/>
    <w:rsid w:val="00146737"/>
    <w:rsid w:val="00146777"/>
    <w:rsid w:val="00146BD0"/>
    <w:rsid w:val="00146F9E"/>
    <w:rsid w:val="00147015"/>
    <w:rsid w:val="00147403"/>
    <w:rsid w:val="001475E5"/>
    <w:rsid w:val="00147699"/>
    <w:rsid w:val="00147799"/>
    <w:rsid w:val="0014798B"/>
    <w:rsid w:val="00147B2A"/>
    <w:rsid w:val="001502C3"/>
    <w:rsid w:val="00150380"/>
    <w:rsid w:val="001506A5"/>
    <w:rsid w:val="001508B6"/>
    <w:rsid w:val="00150AF0"/>
    <w:rsid w:val="00150C07"/>
    <w:rsid w:val="00150D95"/>
    <w:rsid w:val="00151032"/>
    <w:rsid w:val="001510B1"/>
    <w:rsid w:val="001510CD"/>
    <w:rsid w:val="00151116"/>
    <w:rsid w:val="0015120D"/>
    <w:rsid w:val="00151B05"/>
    <w:rsid w:val="00151BC3"/>
    <w:rsid w:val="00151D0C"/>
    <w:rsid w:val="00151EF9"/>
    <w:rsid w:val="001529F7"/>
    <w:rsid w:val="00152B6E"/>
    <w:rsid w:val="00152C7A"/>
    <w:rsid w:val="00152FB3"/>
    <w:rsid w:val="00153360"/>
    <w:rsid w:val="001533CC"/>
    <w:rsid w:val="001535C2"/>
    <w:rsid w:val="00153850"/>
    <w:rsid w:val="00153A92"/>
    <w:rsid w:val="00153AE8"/>
    <w:rsid w:val="00153B47"/>
    <w:rsid w:val="00153C0F"/>
    <w:rsid w:val="00154806"/>
    <w:rsid w:val="00154C8D"/>
    <w:rsid w:val="00154CE1"/>
    <w:rsid w:val="001550D0"/>
    <w:rsid w:val="00155187"/>
    <w:rsid w:val="0015531E"/>
    <w:rsid w:val="0015535C"/>
    <w:rsid w:val="0015581B"/>
    <w:rsid w:val="00155AF6"/>
    <w:rsid w:val="00155CEA"/>
    <w:rsid w:val="0015633A"/>
    <w:rsid w:val="001564D8"/>
    <w:rsid w:val="001568E3"/>
    <w:rsid w:val="00156F4E"/>
    <w:rsid w:val="001570E6"/>
    <w:rsid w:val="0015723F"/>
    <w:rsid w:val="00157C83"/>
    <w:rsid w:val="00157D6D"/>
    <w:rsid w:val="0016009D"/>
    <w:rsid w:val="00160349"/>
    <w:rsid w:val="00160369"/>
    <w:rsid w:val="00160802"/>
    <w:rsid w:val="001608CB"/>
    <w:rsid w:val="00160926"/>
    <w:rsid w:val="0016098F"/>
    <w:rsid w:val="00160A6D"/>
    <w:rsid w:val="00160CBA"/>
    <w:rsid w:val="00160E55"/>
    <w:rsid w:val="00160E6D"/>
    <w:rsid w:val="00160F2D"/>
    <w:rsid w:val="001610E4"/>
    <w:rsid w:val="001614D6"/>
    <w:rsid w:val="00161581"/>
    <w:rsid w:val="001616F1"/>
    <w:rsid w:val="00161723"/>
    <w:rsid w:val="0016186F"/>
    <w:rsid w:val="00161975"/>
    <w:rsid w:val="00161ACA"/>
    <w:rsid w:val="00161D16"/>
    <w:rsid w:val="001620D6"/>
    <w:rsid w:val="00162145"/>
    <w:rsid w:val="0016214E"/>
    <w:rsid w:val="00162218"/>
    <w:rsid w:val="00162345"/>
    <w:rsid w:val="001626A9"/>
    <w:rsid w:val="00162B04"/>
    <w:rsid w:val="00162D33"/>
    <w:rsid w:val="00162FFD"/>
    <w:rsid w:val="00163085"/>
    <w:rsid w:val="001630F8"/>
    <w:rsid w:val="0016310D"/>
    <w:rsid w:val="0016350B"/>
    <w:rsid w:val="001636E5"/>
    <w:rsid w:val="00163803"/>
    <w:rsid w:val="00163AC0"/>
    <w:rsid w:val="00163B03"/>
    <w:rsid w:val="00163CEC"/>
    <w:rsid w:val="00163D65"/>
    <w:rsid w:val="00163E09"/>
    <w:rsid w:val="00163EBC"/>
    <w:rsid w:val="00163F3E"/>
    <w:rsid w:val="00164023"/>
    <w:rsid w:val="00164330"/>
    <w:rsid w:val="001646B9"/>
    <w:rsid w:val="00164787"/>
    <w:rsid w:val="00164D2A"/>
    <w:rsid w:val="00164EFE"/>
    <w:rsid w:val="00165011"/>
    <w:rsid w:val="001650FB"/>
    <w:rsid w:val="001652B3"/>
    <w:rsid w:val="0016547F"/>
    <w:rsid w:val="001654CC"/>
    <w:rsid w:val="00165544"/>
    <w:rsid w:val="00165827"/>
    <w:rsid w:val="00165D7D"/>
    <w:rsid w:val="00165E47"/>
    <w:rsid w:val="00165EF2"/>
    <w:rsid w:val="0016620B"/>
    <w:rsid w:val="001662A8"/>
    <w:rsid w:val="001662AC"/>
    <w:rsid w:val="00166561"/>
    <w:rsid w:val="0016675E"/>
    <w:rsid w:val="00166B6A"/>
    <w:rsid w:val="00166C15"/>
    <w:rsid w:val="00166CDD"/>
    <w:rsid w:val="00166E6E"/>
    <w:rsid w:val="00167167"/>
    <w:rsid w:val="00167A5A"/>
    <w:rsid w:val="00167E01"/>
    <w:rsid w:val="00167F23"/>
    <w:rsid w:val="001707E5"/>
    <w:rsid w:val="0017081A"/>
    <w:rsid w:val="00170DC3"/>
    <w:rsid w:val="001711C6"/>
    <w:rsid w:val="001711D2"/>
    <w:rsid w:val="00171649"/>
    <w:rsid w:val="001717B8"/>
    <w:rsid w:val="00171926"/>
    <w:rsid w:val="001719E2"/>
    <w:rsid w:val="00171C31"/>
    <w:rsid w:val="00171C8E"/>
    <w:rsid w:val="00172095"/>
    <w:rsid w:val="001722C1"/>
    <w:rsid w:val="00172DD2"/>
    <w:rsid w:val="00172EFF"/>
    <w:rsid w:val="001730F9"/>
    <w:rsid w:val="00173556"/>
    <w:rsid w:val="00173798"/>
    <w:rsid w:val="00173BC1"/>
    <w:rsid w:val="0017403A"/>
    <w:rsid w:val="00174214"/>
    <w:rsid w:val="00174464"/>
    <w:rsid w:val="001748D9"/>
    <w:rsid w:val="00174978"/>
    <w:rsid w:val="00174B24"/>
    <w:rsid w:val="00174EC3"/>
    <w:rsid w:val="00175085"/>
    <w:rsid w:val="001753E4"/>
    <w:rsid w:val="001754A4"/>
    <w:rsid w:val="001758DE"/>
    <w:rsid w:val="0017597E"/>
    <w:rsid w:val="001759A2"/>
    <w:rsid w:val="00175AE1"/>
    <w:rsid w:val="00175C62"/>
    <w:rsid w:val="00175C83"/>
    <w:rsid w:val="00175EEE"/>
    <w:rsid w:val="00175F37"/>
    <w:rsid w:val="001762F9"/>
    <w:rsid w:val="001763CC"/>
    <w:rsid w:val="001765D0"/>
    <w:rsid w:val="0017681B"/>
    <w:rsid w:val="00176C72"/>
    <w:rsid w:val="001771F2"/>
    <w:rsid w:val="00177438"/>
    <w:rsid w:val="00177560"/>
    <w:rsid w:val="00177627"/>
    <w:rsid w:val="00177755"/>
    <w:rsid w:val="0017785F"/>
    <w:rsid w:val="00177AE2"/>
    <w:rsid w:val="00177D22"/>
    <w:rsid w:val="00177DBC"/>
    <w:rsid w:val="00177DE0"/>
    <w:rsid w:val="00180613"/>
    <w:rsid w:val="00180AAA"/>
    <w:rsid w:val="0018132F"/>
    <w:rsid w:val="00181431"/>
    <w:rsid w:val="00181A47"/>
    <w:rsid w:val="00181B00"/>
    <w:rsid w:val="00181C70"/>
    <w:rsid w:val="00181C8A"/>
    <w:rsid w:val="00181EC0"/>
    <w:rsid w:val="00181FD2"/>
    <w:rsid w:val="00182091"/>
    <w:rsid w:val="00182179"/>
    <w:rsid w:val="0018260E"/>
    <w:rsid w:val="001828DA"/>
    <w:rsid w:val="0018297E"/>
    <w:rsid w:val="00182A51"/>
    <w:rsid w:val="00182CB5"/>
    <w:rsid w:val="00183510"/>
    <w:rsid w:val="00183661"/>
    <w:rsid w:val="001836C4"/>
    <w:rsid w:val="001836EF"/>
    <w:rsid w:val="001837A5"/>
    <w:rsid w:val="00184090"/>
    <w:rsid w:val="00184544"/>
    <w:rsid w:val="001848C2"/>
    <w:rsid w:val="00184AA7"/>
    <w:rsid w:val="00184AFA"/>
    <w:rsid w:val="00184B45"/>
    <w:rsid w:val="00184C8F"/>
    <w:rsid w:val="00184FC5"/>
    <w:rsid w:val="00185293"/>
    <w:rsid w:val="001859D2"/>
    <w:rsid w:val="00185D90"/>
    <w:rsid w:val="00185F0E"/>
    <w:rsid w:val="00185F48"/>
    <w:rsid w:val="00186521"/>
    <w:rsid w:val="001865B9"/>
    <w:rsid w:val="001865CA"/>
    <w:rsid w:val="00186701"/>
    <w:rsid w:val="00186944"/>
    <w:rsid w:val="00186A1C"/>
    <w:rsid w:val="001872B6"/>
    <w:rsid w:val="001874B2"/>
    <w:rsid w:val="00187839"/>
    <w:rsid w:val="00187BA8"/>
    <w:rsid w:val="00187E4F"/>
    <w:rsid w:val="00187E87"/>
    <w:rsid w:val="001909DE"/>
    <w:rsid w:val="00190AB4"/>
    <w:rsid w:val="00190AB7"/>
    <w:rsid w:val="00190B6F"/>
    <w:rsid w:val="00190EC1"/>
    <w:rsid w:val="00191153"/>
    <w:rsid w:val="0019123E"/>
    <w:rsid w:val="00191269"/>
    <w:rsid w:val="001913CB"/>
    <w:rsid w:val="00191722"/>
    <w:rsid w:val="001917A2"/>
    <w:rsid w:val="001918E9"/>
    <w:rsid w:val="00191CA6"/>
    <w:rsid w:val="00191CEB"/>
    <w:rsid w:val="00192094"/>
    <w:rsid w:val="001922BA"/>
    <w:rsid w:val="00192300"/>
    <w:rsid w:val="0019273B"/>
    <w:rsid w:val="00192CDB"/>
    <w:rsid w:val="00192D4B"/>
    <w:rsid w:val="001933FC"/>
    <w:rsid w:val="0019393A"/>
    <w:rsid w:val="00193946"/>
    <w:rsid w:val="00193EE2"/>
    <w:rsid w:val="00194090"/>
    <w:rsid w:val="00194172"/>
    <w:rsid w:val="0019440D"/>
    <w:rsid w:val="001944C0"/>
    <w:rsid w:val="0019455F"/>
    <w:rsid w:val="00194851"/>
    <w:rsid w:val="00194B48"/>
    <w:rsid w:val="00194D42"/>
    <w:rsid w:val="001950D7"/>
    <w:rsid w:val="001951F6"/>
    <w:rsid w:val="00195304"/>
    <w:rsid w:val="0019568F"/>
    <w:rsid w:val="001959C0"/>
    <w:rsid w:val="00195B48"/>
    <w:rsid w:val="00195B8F"/>
    <w:rsid w:val="00195DA6"/>
    <w:rsid w:val="00195EDA"/>
    <w:rsid w:val="00196561"/>
    <w:rsid w:val="001965AE"/>
    <w:rsid w:val="0019673B"/>
    <w:rsid w:val="0019690D"/>
    <w:rsid w:val="00196A25"/>
    <w:rsid w:val="00196C15"/>
    <w:rsid w:val="0019716A"/>
    <w:rsid w:val="0019762E"/>
    <w:rsid w:val="00197CE6"/>
    <w:rsid w:val="00197D18"/>
    <w:rsid w:val="00197DAD"/>
    <w:rsid w:val="001A010D"/>
    <w:rsid w:val="001A021B"/>
    <w:rsid w:val="001A02CA"/>
    <w:rsid w:val="001A0692"/>
    <w:rsid w:val="001A0695"/>
    <w:rsid w:val="001A0842"/>
    <w:rsid w:val="001A0992"/>
    <w:rsid w:val="001A0F60"/>
    <w:rsid w:val="001A11CF"/>
    <w:rsid w:val="001A1613"/>
    <w:rsid w:val="001A1AA8"/>
    <w:rsid w:val="001A1F10"/>
    <w:rsid w:val="001A1F7A"/>
    <w:rsid w:val="001A20EE"/>
    <w:rsid w:val="001A2394"/>
    <w:rsid w:val="001A242C"/>
    <w:rsid w:val="001A2466"/>
    <w:rsid w:val="001A24E8"/>
    <w:rsid w:val="001A2785"/>
    <w:rsid w:val="001A2C34"/>
    <w:rsid w:val="001A3151"/>
    <w:rsid w:val="001A331F"/>
    <w:rsid w:val="001A34AD"/>
    <w:rsid w:val="001A3CE7"/>
    <w:rsid w:val="001A3D2C"/>
    <w:rsid w:val="001A3DED"/>
    <w:rsid w:val="001A4126"/>
    <w:rsid w:val="001A43AC"/>
    <w:rsid w:val="001A4A36"/>
    <w:rsid w:val="001A50E4"/>
    <w:rsid w:val="001A5747"/>
    <w:rsid w:val="001A57B4"/>
    <w:rsid w:val="001A5DCA"/>
    <w:rsid w:val="001A5E3E"/>
    <w:rsid w:val="001A6353"/>
    <w:rsid w:val="001A675B"/>
    <w:rsid w:val="001A6AFE"/>
    <w:rsid w:val="001A6DC5"/>
    <w:rsid w:val="001A7172"/>
    <w:rsid w:val="001A722C"/>
    <w:rsid w:val="001A745C"/>
    <w:rsid w:val="001A7777"/>
    <w:rsid w:val="001A77FA"/>
    <w:rsid w:val="001A7A1B"/>
    <w:rsid w:val="001A7AFB"/>
    <w:rsid w:val="001A7C12"/>
    <w:rsid w:val="001A7ECC"/>
    <w:rsid w:val="001B0128"/>
    <w:rsid w:val="001B052A"/>
    <w:rsid w:val="001B0637"/>
    <w:rsid w:val="001B0880"/>
    <w:rsid w:val="001B094B"/>
    <w:rsid w:val="001B0A1E"/>
    <w:rsid w:val="001B0A22"/>
    <w:rsid w:val="001B0A70"/>
    <w:rsid w:val="001B0A88"/>
    <w:rsid w:val="001B0DFA"/>
    <w:rsid w:val="001B0E53"/>
    <w:rsid w:val="001B0E7B"/>
    <w:rsid w:val="001B0F63"/>
    <w:rsid w:val="001B0FB5"/>
    <w:rsid w:val="001B1590"/>
    <w:rsid w:val="001B169F"/>
    <w:rsid w:val="001B1704"/>
    <w:rsid w:val="001B17A6"/>
    <w:rsid w:val="001B18F8"/>
    <w:rsid w:val="001B1F67"/>
    <w:rsid w:val="001B1F78"/>
    <w:rsid w:val="001B1FF3"/>
    <w:rsid w:val="001B2A1F"/>
    <w:rsid w:val="001B2F70"/>
    <w:rsid w:val="001B2FF9"/>
    <w:rsid w:val="001B30A9"/>
    <w:rsid w:val="001B39B7"/>
    <w:rsid w:val="001B3A77"/>
    <w:rsid w:val="001B3D5E"/>
    <w:rsid w:val="001B4290"/>
    <w:rsid w:val="001B462D"/>
    <w:rsid w:val="001B4ABE"/>
    <w:rsid w:val="001B4D39"/>
    <w:rsid w:val="001B4E30"/>
    <w:rsid w:val="001B4E88"/>
    <w:rsid w:val="001B4F99"/>
    <w:rsid w:val="001B534E"/>
    <w:rsid w:val="001B5566"/>
    <w:rsid w:val="001B57DD"/>
    <w:rsid w:val="001B5B71"/>
    <w:rsid w:val="001B5CC9"/>
    <w:rsid w:val="001B5DA0"/>
    <w:rsid w:val="001B5E20"/>
    <w:rsid w:val="001B5E41"/>
    <w:rsid w:val="001B5FD9"/>
    <w:rsid w:val="001B600A"/>
    <w:rsid w:val="001B63A0"/>
    <w:rsid w:val="001B63C0"/>
    <w:rsid w:val="001B64DE"/>
    <w:rsid w:val="001B681A"/>
    <w:rsid w:val="001B69A0"/>
    <w:rsid w:val="001B69FF"/>
    <w:rsid w:val="001B6DE7"/>
    <w:rsid w:val="001B6E50"/>
    <w:rsid w:val="001B6EDC"/>
    <w:rsid w:val="001B7033"/>
    <w:rsid w:val="001B759A"/>
    <w:rsid w:val="001B76FF"/>
    <w:rsid w:val="001B7758"/>
    <w:rsid w:val="001B7AAE"/>
    <w:rsid w:val="001B7BEC"/>
    <w:rsid w:val="001B7EC0"/>
    <w:rsid w:val="001C02FB"/>
    <w:rsid w:val="001C0324"/>
    <w:rsid w:val="001C072B"/>
    <w:rsid w:val="001C083C"/>
    <w:rsid w:val="001C0895"/>
    <w:rsid w:val="001C1973"/>
    <w:rsid w:val="001C1DAB"/>
    <w:rsid w:val="001C2128"/>
    <w:rsid w:val="001C22AE"/>
    <w:rsid w:val="001C24E9"/>
    <w:rsid w:val="001C28B7"/>
    <w:rsid w:val="001C2C63"/>
    <w:rsid w:val="001C2D72"/>
    <w:rsid w:val="001C2FBC"/>
    <w:rsid w:val="001C32B0"/>
    <w:rsid w:val="001C32E6"/>
    <w:rsid w:val="001C3581"/>
    <w:rsid w:val="001C385B"/>
    <w:rsid w:val="001C3B11"/>
    <w:rsid w:val="001C3E00"/>
    <w:rsid w:val="001C427C"/>
    <w:rsid w:val="001C42D4"/>
    <w:rsid w:val="001C42F5"/>
    <w:rsid w:val="001C4446"/>
    <w:rsid w:val="001C44F4"/>
    <w:rsid w:val="001C4554"/>
    <w:rsid w:val="001C46D2"/>
    <w:rsid w:val="001C4BC9"/>
    <w:rsid w:val="001C4C29"/>
    <w:rsid w:val="001C4C75"/>
    <w:rsid w:val="001C4D81"/>
    <w:rsid w:val="001C516A"/>
    <w:rsid w:val="001C5348"/>
    <w:rsid w:val="001C53FF"/>
    <w:rsid w:val="001C656A"/>
    <w:rsid w:val="001C6583"/>
    <w:rsid w:val="001C6965"/>
    <w:rsid w:val="001C6AE0"/>
    <w:rsid w:val="001C6DE3"/>
    <w:rsid w:val="001C72D9"/>
    <w:rsid w:val="001C74D2"/>
    <w:rsid w:val="001C752D"/>
    <w:rsid w:val="001C79FD"/>
    <w:rsid w:val="001C7AD9"/>
    <w:rsid w:val="001C7BD0"/>
    <w:rsid w:val="001D001D"/>
    <w:rsid w:val="001D03D2"/>
    <w:rsid w:val="001D0A76"/>
    <w:rsid w:val="001D0D0A"/>
    <w:rsid w:val="001D0D0C"/>
    <w:rsid w:val="001D0D2B"/>
    <w:rsid w:val="001D11AE"/>
    <w:rsid w:val="001D1591"/>
    <w:rsid w:val="001D1AB3"/>
    <w:rsid w:val="001D1B65"/>
    <w:rsid w:val="001D1E61"/>
    <w:rsid w:val="001D1F80"/>
    <w:rsid w:val="001D208E"/>
    <w:rsid w:val="001D237B"/>
    <w:rsid w:val="001D251F"/>
    <w:rsid w:val="001D26AE"/>
    <w:rsid w:val="001D29F7"/>
    <w:rsid w:val="001D2AA0"/>
    <w:rsid w:val="001D2AC1"/>
    <w:rsid w:val="001D2C20"/>
    <w:rsid w:val="001D2D9A"/>
    <w:rsid w:val="001D2FCA"/>
    <w:rsid w:val="001D3786"/>
    <w:rsid w:val="001D37DD"/>
    <w:rsid w:val="001D389B"/>
    <w:rsid w:val="001D3A35"/>
    <w:rsid w:val="001D3D03"/>
    <w:rsid w:val="001D3DB2"/>
    <w:rsid w:val="001D403C"/>
    <w:rsid w:val="001D40A4"/>
    <w:rsid w:val="001D43B7"/>
    <w:rsid w:val="001D480F"/>
    <w:rsid w:val="001D48D4"/>
    <w:rsid w:val="001D4CF2"/>
    <w:rsid w:val="001D4DE7"/>
    <w:rsid w:val="001D5208"/>
    <w:rsid w:val="001D54E7"/>
    <w:rsid w:val="001D562A"/>
    <w:rsid w:val="001D56C9"/>
    <w:rsid w:val="001D57B2"/>
    <w:rsid w:val="001D5EC8"/>
    <w:rsid w:val="001D6217"/>
    <w:rsid w:val="001D64DB"/>
    <w:rsid w:val="001D6570"/>
    <w:rsid w:val="001D6582"/>
    <w:rsid w:val="001D6DDA"/>
    <w:rsid w:val="001D6F86"/>
    <w:rsid w:val="001D7845"/>
    <w:rsid w:val="001E0008"/>
    <w:rsid w:val="001E00C3"/>
    <w:rsid w:val="001E0388"/>
    <w:rsid w:val="001E0390"/>
    <w:rsid w:val="001E0449"/>
    <w:rsid w:val="001E06F3"/>
    <w:rsid w:val="001E07DE"/>
    <w:rsid w:val="001E0A79"/>
    <w:rsid w:val="001E0FC1"/>
    <w:rsid w:val="001E111D"/>
    <w:rsid w:val="001E17BD"/>
    <w:rsid w:val="001E1E6D"/>
    <w:rsid w:val="001E1ECB"/>
    <w:rsid w:val="001E1F77"/>
    <w:rsid w:val="001E20B8"/>
    <w:rsid w:val="001E222E"/>
    <w:rsid w:val="001E2294"/>
    <w:rsid w:val="001E22A1"/>
    <w:rsid w:val="001E247F"/>
    <w:rsid w:val="001E258E"/>
    <w:rsid w:val="001E2606"/>
    <w:rsid w:val="001E2629"/>
    <w:rsid w:val="001E2A39"/>
    <w:rsid w:val="001E2E2C"/>
    <w:rsid w:val="001E2EEF"/>
    <w:rsid w:val="001E37F2"/>
    <w:rsid w:val="001E3BD3"/>
    <w:rsid w:val="001E3C79"/>
    <w:rsid w:val="001E3C94"/>
    <w:rsid w:val="001E3DA6"/>
    <w:rsid w:val="001E400A"/>
    <w:rsid w:val="001E4C79"/>
    <w:rsid w:val="001E4F51"/>
    <w:rsid w:val="001E5049"/>
    <w:rsid w:val="001E52A9"/>
    <w:rsid w:val="001E55F9"/>
    <w:rsid w:val="001E5B18"/>
    <w:rsid w:val="001E5D5A"/>
    <w:rsid w:val="001E61EA"/>
    <w:rsid w:val="001E62C7"/>
    <w:rsid w:val="001E655B"/>
    <w:rsid w:val="001E67CC"/>
    <w:rsid w:val="001E6886"/>
    <w:rsid w:val="001E6988"/>
    <w:rsid w:val="001E69C2"/>
    <w:rsid w:val="001E6AF4"/>
    <w:rsid w:val="001E6B7A"/>
    <w:rsid w:val="001E6CCD"/>
    <w:rsid w:val="001E6DD7"/>
    <w:rsid w:val="001E6E2C"/>
    <w:rsid w:val="001E6ED6"/>
    <w:rsid w:val="001E7036"/>
    <w:rsid w:val="001E706E"/>
    <w:rsid w:val="001E748C"/>
    <w:rsid w:val="001E74F2"/>
    <w:rsid w:val="001E7520"/>
    <w:rsid w:val="001E7804"/>
    <w:rsid w:val="001E780A"/>
    <w:rsid w:val="001E78EE"/>
    <w:rsid w:val="001E7AB0"/>
    <w:rsid w:val="001E7BBC"/>
    <w:rsid w:val="001F0283"/>
    <w:rsid w:val="001F0385"/>
    <w:rsid w:val="001F03D6"/>
    <w:rsid w:val="001F0587"/>
    <w:rsid w:val="001F08AD"/>
    <w:rsid w:val="001F0912"/>
    <w:rsid w:val="001F10BF"/>
    <w:rsid w:val="001F1201"/>
    <w:rsid w:val="001F1282"/>
    <w:rsid w:val="001F12FC"/>
    <w:rsid w:val="001F1430"/>
    <w:rsid w:val="001F19D8"/>
    <w:rsid w:val="001F1E92"/>
    <w:rsid w:val="001F201F"/>
    <w:rsid w:val="001F20B7"/>
    <w:rsid w:val="001F21BC"/>
    <w:rsid w:val="001F2290"/>
    <w:rsid w:val="001F25EC"/>
    <w:rsid w:val="001F2933"/>
    <w:rsid w:val="001F2AB3"/>
    <w:rsid w:val="001F2ADA"/>
    <w:rsid w:val="001F2C9A"/>
    <w:rsid w:val="001F3739"/>
    <w:rsid w:val="001F381F"/>
    <w:rsid w:val="001F3EFC"/>
    <w:rsid w:val="001F4304"/>
    <w:rsid w:val="001F448B"/>
    <w:rsid w:val="001F484A"/>
    <w:rsid w:val="001F4939"/>
    <w:rsid w:val="001F4A02"/>
    <w:rsid w:val="001F4D19"/>
    <w:rsid w:val="001F534D"/>
    <w:rsid w:val="001F5B48"/>
    <w:rsid w:val="001F5F91"/>
    <w:rsid w:val="001F5FB9"/>
    <w:rsid w:val="001F6178"/>
    <w:rsid w:val="001F6536"/>
    <w:rsid w:val="001F6567"/>
    <w:rsid w:val="001F6783"/>
    <w:rsid w:val="001F6DB2"/>
    <w:rsid w:val="001F7092"/>
    <w:rsid w:val="001F7408"/>
    <w:rsid w:val="001F77BF"/>
    <w:rsid w:val="001F7839"/>
    <w:rsid w:val="001F79B2"/>
    <w:rsid w:val="001F7AC0"/>
    <w:rsid w:val="001F7BB8"/>
    <w:rsid w:val="001F7C4B"/>
    <w:rsid w:val="001F7D2A"/>
    <w:rsid w:val="001F7ECD"/>
    <w:rsid w:val="002000B2"/>
    <w:rsid w:val="00200176"/>
    <w:rsid w:val="0020058C"/>
    <w:rsid w:val="002006BD"/>
    <w:rsid w:val="002007AC"/>
    <w:rsid w:val="002007E0"/>
    <w:rsid w:val="00201592"/>
    <w:rsid w:val="0020177B"/>
    <w:rsid w:val="0020193D"/>
    <w:rsid w:val="00201B88"/>
    <w:rsid w:val="00201BA0"/>
    <w:rsid w:val="002023BD"/>
    <w:rsid w:val="002023CF"/>
    <w:rsid w:val="00202495"/>
    <w:rsid w:val="002024A0"/>
    <w:rsid w:val="0020283E"/>
    <w:rsid w:val="00202944"/>
    <w:rsid w:val="00202C49"/>
    <w:rsid w:val="00202D88"/>
    <w:rsid w:val="00202FDF"/>
    <w:rsid w:val="00203032"/>
    <w:rsid w:val="002032A9"/>
    <w:rsid w:val="002033B6"/>
    <w:rsid w:val="00203C40"/>
    <w:rsid w:val="00203E9C"/>
    <w:rsid w:val="0020453C"/>
    <w:rsid w:val="0020453E"/>
    <w:rsid w:val="00204764"/>
    <w:rsid w:val="002049A8"/>
    <w:rsid w:val="00204B46"/>
    <w:rsid w:val="00204C57"/>
    <w:rsid w:val="00204C78"/>
    <w:rsid w:val="00204CD0"/>
    <w:rsid w:val="00204D27"/>
    <w:rsid w:val="0020502A"/>
    <w:rsid w:val="002051D2"/>
    <w:rsid w:val="00205292"/>
    <w:rsid w:val="002057A3"/>
    <w:rsid w:val="00205AE4"/>
    <w:rsid w:val="00205C21"/>
    <w:rsid w:val="00205CF7"/>
    <w:rsid w:val="00205E3C"/>
    <w:rsid w:val="00206234"/>
    <w:rsid w:val="002066C4"/>
    <w:rsid w:val="00206783"/>
    <w:rsid w:val="002067AC"/>
    <w:rsid w:val="00206D90"/>
    <w:rsid w:val="00206E98"/>
    <w:rsid w:val="00206F45"/>
    <w:rsid w:val="002071FD"/>
    <w:rsid w:val="00207303"/>
    <w:rsid w:val="0020738B"/>
    <w:rsid w:val="002074EF"/>
    <w:rsid w:val="002074FD"/>
    <w:rsid w:val="00207618"/>
    <w:rsid w:val="00207A95"/>
    <w:rsid w:val="00207ACB"/>
    <w:rsid w:val="00207B89"/>
    <w:rsid w:val="00210128"/>
    <w:rsid w:val="002102DE"/>
    <w:rsid w:val="002104E8"/>
    <w:rsid w:val="00210810"/>
    <w:rsid w:val="00210C2C"/>
    <w:rsid w:val="00211124"/>
    <w:rsid w:val="0021114F"/>
    <w:rsid w:val="00211283"/>
    <w:rsid w:val="002112C4"/>
    <w:rsid w:val="0021164A"/>
    <w:rsid w:val="0021179B"/>
    <w:rsid w:val="002117B1"/>
    <w:rsid w:val="00211A3C"/>
    <w:rsid w:val="00211B5C"/>
    <w:rsid w:val="00211F48"/>
    <w:rsid w:val="002120AF"/>
    <w:rsid w:val="002121EE"/>
    <w:rsid w:val="00212376"/>
    <w:rsid w:val="002124CC"/>
    <w:rsid w:val="002129A5"/>
    <w:rsid w:val="0021304C"/>
    <w:rsid w:val="0021339E"/>
    <w:rsid w:val="00213DC3"/>
    <w:rsid w:val="00213E8F"/>
    <w:rsid w:val="00213F6C"/>
    <w:rsid w:val="00214369"/>
    <w:rsid w:val="00214977"/>
    <w:rsid w:val="00214BAC"/>
    <w:rsid w:val="00214C4C"/>
    <w:rsid w:val="00214C85"/>
    <w:rsid w:val="00214D3D"/>
    <w:rsid w:val="00215D76"/>
    <w:rsid w:val="002162AB"/>
    <w:rsid w:val="002166FD"/>
    <w:rsid w:val="002168EF"/>
    <w:rsid w:val="00216A8D"/>
    <w:rsid w:val="00217077"/>
    <w:rsid w:val="00217135"/>
    <w:rsid w:val="00217490"/>
    <w:rsid w:val="00217640"/>
    <w:rsid w:val="002178C6"/>
    <w:rsid w:val="00217C1E"/>
    <w:rsid w:val="00217EC1"/>
    <w:rsid w:val="00217F34"/>
    <w:rsid w:val="00220361"/>
    <w:rsid w:val="00220674"/>
    <w:rsid w:val="002208CF"/>
    <w:rsid w:val="00220A85"/>
    <w:rsid w:val="00220A94"/>
    <w:rsid w:val="0022132C"/>
    <w:rsid w:val="002217F2"/>
    <w:rsid w:val="00221872"/>
    <w:rsid w:val="00221F82"/>
    <w:rsid w:val="002221A0"/>
    <w:rsid w:val="00222F9A"/>
    <w:rsid w:val="00222FAC"/>
    <w:rsid w:val="00223071"/>
    <w:rsid w:val="00223195"/>
    <w:rsid w:val="002231EB"/>
    <w:rsid w:val="002232E4"/>
    <w:rsid w:val="00223321"/>
    <w:rsid w:val="00223463"/>
    <w:rsid w:val="00223B9C"/>
    <w:rsid w:val="00223CED"/>
    <w:rsid w:val="00223CF9"/>
    <w:rsid w:val="00223F30"/>
    <w:rsid w:val="0022431B"/>
    <w:rsid w:val="002243DD"/>
    <w:rsid w:val="002243E7"/>
    <w:rsid w:val="0022465B"/>
    <w:rsid w:val="00224748"/>
    <w:rsid w:val="00224AFC"/>
    <w:rsid w:val="00224D49"/>
    <w:rsid w:val="00225073"/>
    <w:rsid w:val="0022514E"/>
    <w:rsid w:val="00225198"/>
    <w:rsid w:val="002252D2"/>
    <w:rsid w:val="002259E5"/>
    <w:rsid w:val="00225BF7"/>
    <w:rsid w:val="00225C5F"/>
    <w:rsid w:val="00225E8B"/>
    <w:rsid w:val="00225EC1"/>
    <w:rsid w:val="002260AC"/>
    <w:rsid w:val="00226172"/>
    <w:rsid w:val="00226D08"/>
    <w:rsid w:val="00226FE7"/>
    <w:rsid w:val="002270B4"/>
    <w:rsid w:val="00227672"/>
    <w:rsid w:val="00227C14"/>
    <w:rsid w:val="00227F7B"/>
    <w:rsid w:val="00230163"/>
    <w:rsid w:val="00230599"/>
    <w:rsid w:val="00230983"/>
    <w:rsid w:val="00230BEF"/>
    <w:rsid w:val="00230D5C"/>
    <w:rsid w:val="00230EAA"/>
    <w:rsid w:val="00230F8C"/>
    <w:rsid w:val="00231143"/>
    <w:rsid w:val="002312A6"/>
    <w:rsid w:val="00231412"/>
    <w:rsid w:val="002315B0"/>
    <w:rsid w:val="002315F1"/>
    <w:rsid w:val="002320BE"/>
    <w:rsid w:val="0023230B"/>
    <w:rsid w:val="002324C5"/>
    <w:rsid w:val="002324E3"/>
    <w:rsid w:val="0023253F"/>
    <w:rsid w:val="00232876"/>
    <w:rsid w:val="00232ABB"/>
    <w:rsid w:val="00232B66"/>
    <w:rsid w:val="00232B94"/>
    <w:rsid w:val="00232FC9"/>
    <w:rsid w:val="0023302B"/>
    <w:rsid w:val="0023306A"/>
    <w:rsid w:val="00233386"/>
    <w:rsid w:val="00233459"/>
    <w:rsid w:val="002335A4"/>
    <w:rsid w:val="002336A8"/>
    <w:rsid w:val="002338C1"/>
    <w:rsid w:val="00233D7B"/>
    <w:rsid w:val="00233EE1"/>
    <w:rsid w:val="00234000"/>
    <w:rsid w:val="00234002"/>
    <w:rsid w:val="0023466A"/>
    <w:rsid w:val="002346F0"/>
    <w:rsid w:val="0023476D"/>
    <w:rsid w:val="00234FAF"/>
    <w:rsid w:val="002350DF"/>
    <w:rsid w:val="00235379"/>
    <w:rsid w:val="002353CA"/>
    <w:rsid w:val="00235789"/>
    <w:rsid w:val="002357F8"/>
    <w:rsid w:val="00235D2B"/>
    <w:rsid w:val="00235FD5"/>
    <w:rsid w:val="0023632B"/>
    <w:rsid w:val="002365AC"/>
    <w:rsid w:val="00236600"/>
    <w:rsid w:val="0023691B"/>
    <w:rsid w:val="00236ACC"/>
    <w:rsid w:val="00237096"/>
    <w:rsid w:val="0023716E"/>
    <w:rsid w:val="002371EA"/>
    <w:rsid w:val="002377DF"/>
    <w:rsid w:val="0023789D"/>
    <w:rsid w:val="00237AC8"/>
    <w:rsid w:val="00237F81"/>
    <w:rsid w:val="00240096"/>
    <w:rsid w:val="002401C8"/>
    <w:rsid w:val="00240241"/>
    <w:rsid w:val="00240458"/>
    <w:rsid w:val="002404A4"/>
    <w:rsid w:val="002404B2"/>
    <w:rsid w:val="002408CD"/>
    <w:rsid w:val="00240950"/>
    <w:rsid w:val="00240A80"/>
    <w:rsid w:val="00240DB2"/>
    <w:rsid w:val="00240EE9"/>
    <w:rsid w:val="00240EFF"/>
    <w:rsid w:val="002412A8"/>
    <w:rsid w:val="00241401"/>
    <w:rsid w:val="00241A72"/>
    <w:rsid w:val="00241B5D"/>
    <w:rsid w:val="00241EB3"/>
    <w:rsid w:val="00242037"/>
    <w:rsid w:val="0024223C"/>
    <w:rsid w:val="00242339"/>
    <w:rsid w:val="00242575"/>
    <w:rsid w:val="0024296F"/>
    <w:rsid w:val="002429BB"/>
    <w:rsid w:val="00242AC2"/>
    <w:rsid w:val="00242DFB"/>
    <w:rsid w:val="00242E43"/>
    <w:rsid w:val="00242EF0"/>
    <w:rsid w:val="002430BA"/>
    <w:rsid w:val="002431FE"/>
    <w:rsid w:val="002432B1"/>
    <w:rsid w:val="002432BC"/>
    <w:rsid w:val="00243489"/>
    <w:rsid w:val="00243589"/>
    <w:rsid w:val="00243ACA"/>
    <w:rsid w:val="00243EEE"/>
    <w:rsid w:val="00244108"/>
    <w:rsid w:val="002441CB"/>
    <w:rsid w:val="0024420B"/>
    <w:rsid w:val="00244257"/>
    <w:rsid w:val="0024436F"/>
    <w:rsid w:val="002445D8"/>
    <w:rsid w:val="002448F5"/>
    <w:rsid w:val="00244941"/>
    <w:rsid w:val="00244994"/>
    <w:rsid w:val="00244E33"/>
    <w:rsid w:val="00244E3F"/>
    <w:rsid w:val="00244FBB"/>
    <w:rsid w:val="00245100"/>
    <w:rsid w:val="00245120"/>
    <w:rsid w:val="0024523C"/>
    <w:rsid w:val="0024556D"/>
    <w:rsid w:val="0024564D"/>
    <w:rsid w:val="002457B3"/>
    <w:rsid w:val="0024585D"/>
    <w:rsid w:val="0024596C"/>
    <w:rsid w:val="00245B49"/>
    <w:rsid w:val="00245CA7"/>
    <w:rsid w:val="00245D70"/>
    <w:rsid w:val="002460FB"/>
    <w:rsid w:val="0024667B"/>
    <w:rsid w:val="00246878"/>
    <w:rsid w:val="00246955"/>
    <w:rsid w:val="00247174"/>
    <w:rsid w:val="002471A9"/>
    <w:rsid w:val="0024720B"/>
    <w:rsid w:val="00247494"/>
    <w:rsid w:val="0024771B"/>
    <w:rsid w:val="00247907"/>
    <w:rsid w:val="002500AD"/>
    <w:rsid w:val="0025012D"/>
    <w:rsid w:val="00250400"/>
    <w:rsid w:val="002508A0"/>
    <w:rsid w:val="00250C94"/>
    <w:rsid w:val="00250FEC"/>
    <w:rsid w:val="002510FD"/>
    <w:rsid w:val="00251351"/>
    <w:rsid w:val="0025162D"/>
    <w:rsid w:val="00251D18"/>
    <w:rsid w:val="00251F14"/>
    <w:rsid w:val="00251F7A"/>
    <w:rsid w:val="00252154"/>
    <w:rsid w:val="00252278"/>
    <w:rsid w:val="002524C0"/>
    <w:rsid w:val="0025259A"/>
    <w:rsid w:val="002525FD"/>
    <w:rsid w:val="0025262A"/>
    <w:rsid w:val="002526C7"/>
    <w:rsid w:val="0025277E"/>
    <w:rsid w:val="002528FB"/>
    <w:rsid w:val="002529EE"/>
    <w:rsid w:val="00252D6D"/>
    <w:rsid w:val="002530D9"/>
    <w:rsid w:val="0025349C"/>
    <w:rsid w:val="00253621"/>
    <w:rsid w:val="00253A99"/>
    <w:rsid w:val="00253E1B"/>
    <w:rsid w:val="002541EC"/>
    <w:rsid w:val="00254AAC"/>
    <w:rsid w:val="00254B02"/>
    <w:rsid w:val="00254B8F"/>
    <w:rsid w:val="00255115"/>
    <w:rsid w:val="002551A2"/>
    <w:rsid w:val="00255AE4"/>
    <w:rsid w:val="002564E3"/>
    <w:rsid w:val="00256674"/>
    <w:rsid w:val="002566E8"/>
    <w:rsid w:val="0025675E"/>
    <w:rsid w:val="002567ED"/>
    <w:rsid w:val="002568EE"/>
    <w:rsid w:val="0025717E"/>
    <w:rsid w:val="002571CD"/>
    <w:rsid w:val="002572A9"/>
    <w:rsid w:val="00257359"/>
    <w:rsid w:val="002573AE"/>
    <w:rsid w:val="00257502"/>
    <w:rsid w:val="00257550"/>
    <w:rsid w:val="00257672"/>
    <w:rsid w:val="00257771"/>
    <w:rsid w:val="002578BF"/>
    <w:rsid w:val="002579D7"/>
    <w:rsid w:val="00257AE6"/>
    <w:rsid w:val="00260298"/>
    <w:rsid w:val="0026045D"/>
    <w:rsid w:val="0026073C"/>
    <w:rsid w:val="00260C24"/>
    <w:rsid w:val="002613D3"/>
    <w:rsid w:val="0026150F"/>
    <w:rsid w:val="00261A74"/>
    <w:rsid w:val="00261AEE"/>
    <w:rsid w:val="00261B62"/>
    <w:rsid w:val="00262011"/>
    <w:rsid w:val="002624AC"/>
    <w:rsid w:val="00262554"/>
    <w:rsid w:val="0026282F"/>
    <w:rsid w:val="00262935"/>
    <w:rsid w:val="00262A63"/>
    <w:rsid w:val="00262B00"/>
    <w:rsid w:val="00262BAA"/>
    <w:rsid w:val="00262BEE"/>
    <w:rsid w:val="00263165"/>
    <w:rsid w:val="00263246"/>
    <w:rsid w:val="00263491"/>
    <w:rsid w:val="0026352A"/>
    <w:rsid w:val="002638A6"/>
    <w:rsid w:val="00263A1C"/>
    <w:rsid w:val="00263B34"/>
    <w:rsid w:val="00263B5E"/>
    <w:rsid w:val="00263C79"/>
    <w:rsid w:val="00263E58"/>
    <w:rsid w:val="00263E93"/>
    <w:rsid w:val="00264086"/>
    <w:rsid w:val="002641CD"/>
    <w:rsid w:val="002641EF"/>
    <w:rsid w:val="002641FC"/>
    <w:rsid w:val="0026455C"/>
    <w:rsid w:val="0026476B"/>
    <w:rsid w:val="00264A38"/>
    <w:rsid w:val="00264ADD"/>
    <w:rsid w:val="00264C93"/>
    <w:rsid w:val="00264E3A"/>
    <w:rsid w:val="00265155"/>
    <w:rsid w:val="00265448"/>
    <w:rsid w:val="00265482"/>
    <w:rsid w:val="0026552A"/>
    <w:rsid w:val="00265768"/>
    <w:rsid w:val="002658AD"/>
    <w:rsid w:val="002659FB"/>
    <w:rsid w:val="00265B0F"/>
    <w:rsid w:val="00265BCA"/>
    <w:rsid w:val="00265C4E"/>
    <w:rsid w:val="00265F9E"/>
    <w:rsid w:val="0026630E"/>
    <w:rsid w:val="002663A4"/>
    <w:rsid w:val="002667A5"/>
    <w:rsid w:val="002669F8"/>
    <w:rsid w:val="00266F3C"/>
    <w:rsid w:val="00266F73"/>
    <w:rsid w:val="00266F83"/>
    <w:rsid w:val="0026713F"/>
    <w:rsid w:val="002671F6"/>
    <w:rsid w:val="00267243"/>
    <w:rsid w:val="002672F3"/>
    <w:rsid w:val="00267332"/>
    <w:rsid w:val="002679A3"/>
    <w:rsid w:val="00267A47"/>
    <w:rsid w:val="00267B22"/>
    <w:rsid w:val="00267C15"/>
    <w:rsid w:val="00267EF1"/>
    <w:rsid w:val="002700DF"/>
    <w:rsid w:val="00270261"/>
    <w:rsid w:val="0027035A"/>
    <w:rsid w:val="00270454"/>
    <w:rsid w:val="00270511"/>
    <w:rsid w:val="00270957"/>
    <w:rsid w:val="00270B2C"/>
    <w:rsid w:val="0027119F"/>
    <w:rsid w:val="00271798"/>
    <w:rsid w:val="002721B1"/>
    <w:rsid w:val="0027231B"/>
    <w:rsid w:val="0027235B"/>
    <w:rsid w:val="00272763"/>
    <w:rsid w:val="00272782"/>
    <w:rsid w:val="002731B2"/>
    <w:rsid w:val="0027383D"/>
    <w:rsid w:val="00273B55"/>
    <w:rsid w:val="00273CAB"/>
    <w:rsid w:val="00273DBB"/>
    <w:rsid w:val="0027440E"/>
    <w:rsid w:val="00274549"/>
    <w:rsid w:val="002745FD"/>
    <w:rsid w:val="002747EC"/>
    <w:rsid w:val="0027483C"/>
    <w:rsid w:val="00274936"/>
    <w:rsid w:val="00274F0C"/>
    <w:rsid w:val="00274F0F"/>
    <w:rsid w:val="00275167"/>
    <w:rsid w:val="0027527A"/>
    <w:rsid w:val="00275648"/>
    <w:rsid w:val="0027566F"/>
    <w:rsid w:val="00275942"/>
    <w:rsid w:val="00275CEE"/>
    <w:rsid w:val="00275D47"/>
    <w:rsid w:val="00275E9E"/>
    <w:rsid w:val="00275F6D"/>
    <w:rsid w:val="00275FB9"/>
    <w:rsid w:val="00275FE0"/>
    <w:rsid w:val="002760DB"/>
    <w:rsid w:val="002761CE"/>
    <w:rsid w:val="00276223"/>
    <w:rsid w:val="00276291"/>
    <w:rsid w:val="002764D2"/>
    <w:rsid w:val="002765CE"/>
    <w:rsid w:val="00276806"/>
    <w:rsid w:val="002769F1"/>
    <w:rsid w:val="00276B2A"/>
    <w:rsid w:val="00276DA3"/>
    <w:rsid w:val="0027712C"/>
    <w:rsid w:val="002771E1"/>
    <w:rsid w:val="00277631"/>
    <w:rsid w:val="00277798"/>
    <w:rsid w:val="00277980"/>
    <w:rsid w:val="00277B6D"/>
    <w:rsid w:val="00277CA6"/>
    <w:rsid w:val="002804D8"/>
    <w:rsid w:val="00280C2D"/>
    <w:rsid w:val="00280FCD"/>
    <w:rsid w:val="0028104A"/>
    <w:rsid w:val="0028176A"/>
    <w:rsid w:val="00281AEF"/>
    <w:rsid w:val="00281C23"/>
    <w:rsid w:val="00281D58"/>
    <w:rsid w:val="00281FCB"/>
    <w:rsid w:val="002822E4"/>
    <w:rsid w:val="002823D7"/>
    <w:rsid w:val="00282568"/>
    <w:rsid w:val="00282671"/>
    <w:rsid w:val="002826A9"/>
    <w:rsid w:val="00283096"/>
    <w:rsid w:val="002831B6"/>
    <w:rsid w:val="002831C9"/>
    <w:rsid w:val="00283828"/>
    <w:rsid w:val="00283841"/>
    <w:rsid w:val="00283DFB"/>
    <w:rsid w:val="00283E45"/>
    <w:rsid w:val="00283FD8"/>
    <w:rsid w:val="002840E5"/>
    <w:rsid w:val="00284631"/>
    <w:rsid w:val="00284712"/>
    <w:rsid w:val="002848B1"/>
    <w:rsid w:val="00284B85"/>
    <w:rsid w:val="00284F6B"/>
    <w:rsid w:val="00285323"/>
    <w:rsid w:val="00285394"/>
    <w:rsid w:val="0028539A"/>
    <w:rsid w:val="00285518"/>
    <w:rsid w:val="00285634"/>
    <w:rsid w:val="002858F6"/>
    <w:rsid w:val="00285C74"/>
    <w:rsid w:val="00285E19"/>
    <w:rsid w:val="00286230"/>
    <w:rsid w:val="0028662D"/>
    <w:rsid w:val="0028664B"/>
    <w:rsid w:val="002866A9"/>
    <w:rsid w:val="00286C84"/>
    <w:rsid w:val="00286D85"/>
    <w:rsid w:val="00287121"/>
    <w:rsid w:val="002871B1"/>
    <w:rsid w:val="002873D6"/>
    <w:rsid w:val="00287A65"/>
    <w:rsid w:val="00287B2B"/>
    <w:rsid w:val="00287B5E"/>
    <w:rsid w:val="00287B7D"/>
    <w:rsid w:val="00290371"/>
    <w:rsid w:val="002906EB"/>
    <w:rsid w:val="00290D4E"/>
    <w:rsid w:val="00291028"/>
    <w:rsid w:val="0029147C"/>
    <w:rsid w:val="00291529"/>
    <w:rsid w:val="002915DC"/>
    <w:rsid w:val="0029167E"/>
    <w:rsid w:val="0029168C"/>
    <w:rsid w:val="002917A5"/>
    <w:rsid w:val="00291D58"/>
    <w:rsid w:val="002921B2"/>
    <w:rsid w:val="00292265"/>
    <w:rsid w:val="00292367"/>
    <w:rsid w:val="0029272E"/>
    <w:rsid w:val="0029290B"/>
    <w:rsid w:val="00292C55"/>
    <w:rsid w:val="00292E64"/>
    <w:rsid w:val="00292F8F"/>
    <w:rsid w:val="00293E59"/>
    <w:rsid w:val="00293E9E"/>
    <w:rsid w:val="00293FBA"/>
    <w:rsid w:val="00294084"/>
    <w:rsid w:val="00294A48"/>
    <w:rsid w:val="00294EA1"/>
    <w:rsid w:val="002950B0"/>
    <w:rsid w:val="002952EC"/>
    <w:rsid w:val="00295392"/>
    <w:rsid w:val="0029545B"/>
    <w:rsid w:val="0029571A"/>
    <w:rsid w:val="00295823"/>
    <w:rsid w:val="00295949"/>
    <w:rsid w:val="00295A38"/>
    <w:rsid w:val="00295FF7"/>
    <w:rsid w:val="002961B2"/>
    <w:rsid w:val="0029633E"/>
    <w:rsid w:val="0029640E"/>
    <w:rsid w:val="002965B2"/>
    <w:rsid w:val="00296BFD"/>
    <w:rsid w:val="00296EAF"/>
    <w:rsid w:val="00297351"/>
    <w:rsid w:val="002975D0"/>
    <w:rsid w:val="0029773D"/>
    <w:rsid w:val="002978E2"/>
    <w:rsid w:val="00297A09"/>
    <w:rsid w:val="00297ED9"/>
    <w:rsid w:val="002A0144"/>
    <w:rsid w:val="002A01C5"/>
    <w:rsid w:val="002A033E"/>
    <w:rsid w:val="002A06F7"/>
    <w:rsid w:val="002A07DE"/>
    <w:rsid w:val="002A086E"/>
    <w:rsid w:val="002A0BB7"/>
    <w:rsid w:val="002A0FBF"/>
    <w:rsid w:val="002A10EE"/>
    <w:rsid w:val="002A1513"/>
    <w:rsid w:val="002A1930"/>
    <w:rsid w:val="002A1ACD"/>
    <w:rsid w:val="002A2985"/>
    <w:rsid w:val="002A2AD7"/>
    <w:rsid w:val="002A2B0C"/>
    <w:rsid w:val="002A2B20"/>
    <w:rsid w:val="002A2B86"/>
    <w:rsid w:val="002A3185"/>
    <w:rsid w:val="002A3662"/>
    <w:rsid w:val="002A39D6"/>
    <w:rsid w:val="002A3B05"/>
    <w:rsid w:val="002A4120"/>
    <w:rsid w:val="002A43F8"/>
    <w:rsid w:val="002A4B91"/>
    <w:rsid w:val="002A4FFF"/>
    <w:rsid w:val="002A51BF"/>
    <w:rsid w:val="002A5931"/>
    <w:rsid w:val="002A593F"/>
    <w:rsid w:val="002A5B9A"/>
    <w:rsid w:val="002A5BCB"/>
    <w:rsid w:val="002A5EE9"/>
    <w:rsid w:val="002A5F1B"/>
    <w:rsid w:val="002A6362"/>
    <w:rsid w:val="002A63BB"/>
    <w:rsid w:val="002A63C6"/>
    <w:rsid w:val="002A6405"/>
    <w:rsid w:val="002A6769"/>
    <w:rsid w:val="002A6878"/>
    <w:rsid w:val="002A68C7"/>
    <w:rsid w:val="002A6972"/>
    <w:rsid w:val="002A6AF7"/>
    <w:rsid w:val="002A6D0A"/>
    <w:rsid w:val="002A6D6A"/>
    <w:rsid w:val="002A701E"/>
    <w:rsid w:val="002A702D"/>
    <w:rsid w:val="002A73A0"/>
    <w:rsid w:val="002A74F1"/>
    <w:rsid w:val="002A7677"/>
    <w:rsid w:val="002A7C78"/>
    <w:rsid w:val="002A7CE0"/>
    <w:rsid w:val="002A7DEA"/>
    <w:rsid w:val="002B009D"/>
    <w:rsid w:val="002B0224"/>
    <w:rsid w:val="002B0277"/>
    <w:rsid w:val="002B0466"/>
    <w:rsid w:val="002B0477"/>
    <w:rsid w:val="002B07EA"/>
    <w:rsid w:val="002B0A1F"/>
    <w:rsid w:val="002B0D47"/>
    <w:rsid w:val="002B11FC"/>
    <w:rsid w:val="002B12BE"/>
    <w:rsid w:val="002B1597"/>
    <w:rsid w:val="002B15A7"/>
    <w:rsid w:val="002B1949"/>
    <w:rsid w:val="002B1FA1"/>
    <w:rsid w:val="002B1FD8"/>
    <w:rsid w:val="002B2062"/>
    <w:rsid w:val="002B21C0"/>
    <w:rsid w:val="002B2428"/>
    <w:rsid w:val="002B2908"/>
    <w:rsid w:val="002B2968"/>
    <w:rsid w:val="002B2BE3"/>
    <w:rsid w:val="002B2CCD"/>
    <w:rsid w:val="002B2E3E"/>
    <w:rsid w:val="002B2F47"/>
    <w:rsid w:val="002B33DE"/>
    <w:rsid w:val="002B34AD"/>
    <w:rsid w:val="002B3643"/>
    <w:rsid w:val="002B3A04"/>
    <w:rsid w:val="002B4075"/>
    <w:rsid w:val="002B40B2"/>
    <w:rsid w:val="002B4164"/>
    <w:rsid w:val="002B4284"/>
    <w:rsid w:val="002B4B09"/>
    <w:rsid w:val="002B4E13"/>
    <w:rsid w:val="002B52B9"/>
    <w:rsid w:val="002B5453"/>
    <w:rsid w:val="002B56EA"/>
    <w:rsid w:val="002B5B81"/>
    <w:rsid w:val="002B5CF4"/>
    <w:rsid w:val="002B5D94"/>
    <w:rsid w:val="002B5D96"/>
    <w:rsid w:val="002B5DCF"/>
    <w:rsid w:val="002B5E75"/>
    <w:rsid w:val="002B5FA3"/>
    <w:rsid w:val="002B606E"/>
    <w:rsid w:val="002B645D"/>
    <w:rsid w:val="002B68EF"/>
    <w:rsid w:val="002B6948"/>
    <w:rsid w:val="002B6987"/>
    <w:rsid w:val="002B69F8"/>
    <w:rsid w:val="002B6B15"/>
    <w:rsid w:val="002B6B4B"/>
    <w:rsid w:val="002B6FE6"/>
    <w:rsid w:val="002B725E"/>
    <w:rsid w:val="002B7380"/>
    <w:rsid w:val="002B7B47"/>
    <w:rsid w:val="002B7F8F"/>
    <w:rsid w:val="002C023B"/>
    <w:rsid w:val="002C0975"/>
    <w:rsid w:val="002C09E5"/>
    <w:rsid w:val="002C0B9B"/>
    <w:rsid w:val="002C0EB8"/>
    <w:rsid w:val="002C0F07"/>
    <w:rsid w:val="002C12C2"/>
    <w:rsid w:val="002C1321"/>
    <w:rsid w:val="002C1357"/>
    <w:rsid w:val="002C15B7"/>
    <w:rsid w:val="002C1707"/>
    <w:rsid w:val="002C173E"/>
    <w:rsid w:val="002C1C42"/>
    <w:rsid w:val="002C1DC8"/>
    <w:rsid w:val="002C1E8C"/>
    <w:rsid w:val="002C20D2"/>
    <w:rsid w:val="002C28C1"/>
    <w:rsid w:val="002C29BF"/>
    <w:rsid w:val="002C2CA8"/>
    <w:rsid w:val="002C2E88"/>
    <w:rsid w:val="002C3195"/>
    <w:rsid w:val="002C31B5"/>
    <w:rsid w:val="002C3622"/>
    <w:rsid w:val="002C3663"/>
    <w:rsid w:val="002C3725"/>
    <w:rsid w:val="002C3E18"/>
    <w:rsid w:val="002C41B0"/>
    <w:rsid w:val="002C459B"/>
    <w:rsid w:val="002C462A"/>
    <w:rsid w:val="002C4E99"/>
    <w:rsid w:val="002C4FF0"/>
    <w:rsid w:val="002C54E6"/>
    <w:rsid w:val="002C558B"/>
    <w:rsid w:val="002C57FE"/>
    <w:rsid w:val="002C5865"/>
    <w:rsid w:val="002C5C29"/>
    <w:rsid w:val="002C5D9C"/>
    <w:rsid w:val="002C5F26"/>
    <w:rsid w:val="002C6169"/>
    <w:rsid w:val="002C66C3"/>
    <w:rsid w:val="002C690E"/>
    <w:rsid w:val="002C6919"/>
    <w:rsid w:val="002C6C7B"/>
    <w:rsid w:val="002C6EF1"/>
    <w:rsid w:val="002C715E"/>
    <w:rsid w:val="002C716C"/>
    <w:rsid w:val="002C7524"/>
    <w:rsid w:val="002C7704"/>
    <w:rsid w:val="002C7833"/>
    <w:rsid w:val="002C7B4B"/>
    <w:rsid w:val="002C7C92"/>
    <w:rsid w:val="002D0099"/>
    <w:rsid w:val="002D089F"/>
    <w:rsid w:val="002D0E6A"/>
    <w:rsid w:val="002D15B6"/>
    <w:rsid w:val="002D168C"/>
    <w:rsid w:val="002D181F"/>
    <w:rsid w:val="002D1925"/>
    <w:rsid w:val="002D2196"/>
    <w:rsid w:val="002D245B"/>
    <w:rsid w:val="002D277A"/>
    <w:rsid w:val="002D27B8"/>
    <w:rsid w:val="002D27CB"/>
    <w:rsid w:val="002D2935"/>
    <w:rsid w:val="002D2A64"/>
    <w:rsid w:val="002D2A6B"/>
    <w:rsid w:val="002D2ABE"/>
    <w:rsid w:val="002D2B9E"/>
    <w:rsid w:val="002D2C46"/>
    <w:rsid w:val="002D330D"/>
    <w:rsid w:val="002D3392"/>
    <w:rsid w:val="002D3CCF"/>
    <w:rsid w:val="002D3D2C"/>
    <w:rsid w:val="002D3EE2"/>
    <w:rsid w:val="002D3F80"/>
    <w:rsid w:val="002D43B5"/>
    <w:rsid w:val="002D4817"/>
    <w:rsid w:val="002D4859"/>
    <w:rsid w:val="002D4977"/>
    <w:rsid w:val="002D4A05"/>
    <w:rsid w:val="002D4E5D"/>
    <w:rsid w:val="002D5019"/>
    <w:rsid w:val="002D50B3"/>
    <w:rsid w:val="002D5263"/>
    <w:rsid w:val="002D5B6F"/>
    <w:rsid w:val="002D5D30"/>
    <w:rsid w:val="002D65E0"/>
    <w:rsid w:val="002D6671"/>
    <w:rsid w:val="002D6E32"/>
    <w:rsid w:val="002D7382"/>
    <w:rsid w:val="002D73D6"/>
    <w:rsid w:val="002D77B9"/>
    <w:rsid w:val="002D7CB8"/>
    <w:rsid w:val="002D7F62"/>
    <w:rsid w:val="002E019F"/>
    <w:rsid w:val="002E047B"/>
    <w:rsid w:val="002E04F8"/>
    <w:rsid w:val="002E09F3"/>
    <w:rsid w:val="002E0B16"/>
    <w:rsid w:val="002E0EE6"/>
    <w:rsid w:val="002E1094"/>
    <w:rsid w:val="002E1143"/>
    <w:rsid w:val="002E11D2"/>
    <w:rsid w:val="002E13AD"/>
    <w:rsid w:val="002E1720"/>
    <w:rsid w:val="002E17D4"/>
    <w:rsid w:val="002E1869"/>
    <w:rsid w:val="002E1EF9"/>
    <w:rsid w:val="002E2558"/>
    <w:rsid w:val="002E2B8B"/>
    <w:rsid w:val="002E2ECE"/>
    <w:rsid w:val="002E323D"/>
    <w:rsid w:val="002E341B"/>
    <w:rsid w:val="002E3684"/>
    <w:rsid w:val="002E370A"/>
    <w:rsid w:val="002E3A23"/>
    <w:rsid w:val="002E3D13"/>
    <w:rsid w:val="002E465F"/>
    <w:rsid w:val="002E49BA"/>
    <w:rsid w:val="002E4B83"/>
    <w:rsid w:val="002E4BEE"/>
    <w:rsid w:val="002E4E0F"/>
    <w:rsid w:val="002E5094"/>
    <w:rsid w:val="002E539E"/>
    <w:rsid w:val="002E53B5"/>
    <w:rsid w:val="002E53E7"/>
    <w:rsid w:val="002E5416"/>
    <w:rsid w:val="002E5700"/>
    <w:rsid w:val="002E5B86"/>
    <w:rsid w:val="002E5BB6"/>
    <w:rsid w:val="002E5D15"/>
    <w:rsid w:val="002E5DF8"/>
    <w:rsid w:val="002E5E28"/>
    <w:rsid w:val="002E5FCF"/>
    <w:rsid w:val="002E60F1"/>
    <w:rsid w:val="002E6198"/>
    <w:rsid w:val="002E63B0"/>
    <w:rsid w:val="002E6A3D"/>
    <w:rsid w:val="002E6D37"/>
    <w:rsid w:val="002E728F"/>
    <w:rsid w:val="002E74E6"/>
    <w:rsid w:val="002E776D"/>
    <w:rsid w:val="002E77FF"/>
    <w:rsid w:val="002E78B3"/>
    <w:rsid w:val="002E7935"/>
    <w:rsid w:val="002E7A84"/>
    <w:rsid w:val="002E7B91"/>
    <w:rsid w:val="002E7E61"/>
    <w:rsid w:val="002E7FB5"/>
    <w:rsid w:val="002E7FE8"/>
    <w:rsid w:val="002F0024"/>
    <w:rsid w:val="002F007B"/>
    <w:rsid w:val="002F0750"/>
    <w:rsid w:val="002F09A4"/>
    <w:rsid w:val="002F0AED"/>
    <w:rsid w:val="002F0E75"/>
    <w:rsid w:val="002F1434"/>
    <w:rsid w:val="002F15E2"/>
    <w:rsid w:val="002F18D0"/>
    <w:rsid w:val="002F1AC6"/>
    <w:rsid w:val="002F1E65"/>
    <w:rsid w:val="002F24A6"/>
    <w:rsid w:val="002F254E"/>
    <w:rsid w:val="002F25FC"/>
    <w:rsid w:val="002F2688"/>
    <w:rsid w:val="002F26B6"/>
    <w:rsid w:val="002F2756"/>
    <w:rsid w:val="002F28EF"/>
    <w:rsid w:val="002F2BB4"/>
    <w:rsid w:val="002F2BD1"/>
    <w:rsid w:val="002F31C1"/>
    <w:rsid w:val="002F35F4"/>
    <w:rsid w:val="002F37C4"/>
    <w:rsid w:val="002F3A48"/>
    <w:rsid w:val="002F3A90"/>
    <w:rsid w:val="002F3AE5"/>
    <w:rsid w:val="002F3CB9"/>
    <w:rsid w:val="002F3F37"/>
    <w:rsid w:val="002F4050"/>
    <w:rsid w:val="002F42EB"/>
    <w:rsid w:val="002F431C"/>
    <w:rsid w:val="002F43E1"/>
    <w:rsid w:val="002F4655"/>
    <w:rsid w:val="002F4695"/>
    <w:rsid w:val="002F4A81"/>
    <w:rsid w:val="002F4B30"/>
    <w:rsid w:val="002F4B81"/>
    <w:rsid w:val="002F4C2E"/>
    <w:rsid w:val="002F4F65"/>
    <w:rsid w:val="002F4FC0"/>
    <w:rsid w:val="002F52E5"/>
    <w:rsid w:val="002F569F"/>
    <w:rsid w:val="002F576F"/>
    <w:rsid w:val="002F5A33"/>
    <w:rsid w:val="002F5BB4"/>
    <w:rsid w:val="002F5D68"/>
    <w:rsid w:val="002F5D72"/>
    <w:rsid w:val="002F6188"/>
    <w:rsid w:val="002F61E8"/>
    <w:rsid w:val="002F623E"/>
    <w:rsid w:val="002F651B"/>
    <w:rsid w:val="002F65C3"/>
    <w:rsid w:val="002F65F2"/>
    <w:rsid w:val="002F66DE"/>
    <w:rsid w:val="002F6819"/>
    <w:rsid w:val="002F6881"/>
    <w:rsid w:val="002F6BC2"/>
    <w:rsid w:val="002F6D10"/>
    <w:rsid w:val="002F6E46"/>
    <w:rsid w:val="002F7027"/>
    <w:rsid w:val="002F754E"/>
    <w:rsid w:val="002F769D"/>
    <w:rsid w:val="002F774E"/>
    <w:rsid w:val="002F775D"/>
    <w:rsid w:val="002F7815"/>
    <w:rsid w:val="002F78CB"/>
    <w:rsid w:val="002F7E6A"/>
    <w:rsid w:val="003003EB"/>
    <w:rsid w:val="003006C8"/>
    <w:rsid w:val="00300A10"/>
    <w:rsid w:val="00300A84"/>
    <w:rsid w:val="00300B1E"/>
    <w:rsid w:val="00300C80"/>
    <w:rsid w:val="00300DC4"/>
    <w:rsid w:val="0030117A"/>
    <w:rsid w:val="00301376"/>
    <w:rsid w:val="0030153A"/>
    <w:rsid w:val="003015D2"/>
    <w:rsid w:val="00301851"/>
    <w:rsid w:val="003019BF"/>
    <w:rsid w:val="003019CA"/>
    <w:rsid w:val="00302035"/>
    <w:rsid w:val="00302391"/>
    <w:rsid w:val="0030284A"/>
    <w:rsid w:val="00302C56"/>
    <w:rsid w:val="00302E63"/>
    <w:rsid w:val="00302EF0"/>
    <w:rsid w:val="0030313D"/>
    <w:rsid w:val="003038EF"/>
    <w:rsid w:val="00303913"/>
    <w:rsid w:val="00303A56"/>
    <w:rsid w:val="00303C8E"/>
    <w:rsid w:val="00303E1D"/>
    <w:rsid w:val="00303F43"/>
    <w:rsid w:val="003043D2"/>
    <w:rsid w:val="003044FB"/>
    <w:rsid w:val="0030457B"/>
    <w:rsid w:val="00304CB0"/>
    <w:rsid w:val="00305002"/>
    <w:rsid w:val="00305320"/>
    <w:rsid w:val="00305826"/>
    <w:rsid w:val="00305846"/>
    <w:rsid w:val="00305904"/>
    <w:rsid w:val="003059EB"/>
    <w:rsid w:val="00305C18"/>
    <w:rsid w:val="00305C1F"/>
    <w:rsid w:val="00305D1E"/>
    <w:rsid w:val="00305DDA"/>
    <w:rsid w:val="0030618A"/>
    <w:rsid w:val="0030627B"/>
    <w:rsid w:val="003064F6"/>
    <w:rsid w:val="00306E7C"/>
    <w:rsid w:val="00306EC6"/>
    <w:rsid w:val="003072D3"/>
    <w:rsid w:val="003073C8"/>
    <w:rsid w:val="00307563"/>
    <w:rsid w:val="0030784D"/>
    <w:rsid w:val="0030791E"/>
    <w:rsid w:val="0030793B"/>
    <w:rsid w:val="00307C24"/>
    <w:rsid w:val="00307DA7"/>
    <w:rsid w:val="003100F4"/>
    <w:rsid w:val="00310474"/>
    <w:rsid w:val="0031065C"/>
    <w:rsid w:val="003106A4"/>
    <w:rsid w:val="0031085C"/>
    <w:rsid w:val="003109FF"/>
    <w:rsid w:val="00310A7C"/>
    <w:rsid w:val="00310AE6"/>
    <w:rsid w:val="00310B15"/>
    <w:rsid w:val="00310BAA"/>
    <w:rsid w:val="00310CD4"/>
    <w:rsid w:val="00310FF1"/>
    <w:rsid w:val="00311288"/>
    <w:rsid w:val="003114FA"/>
    <w:rsid w:val="00311752"/>
    <w:rsid w:val="003117A8"/>
    <w:rsid w:val="00311A95"/>
    <w:rsid w:val="00311B42"/>
    <w:rsid w:val="00311C27"/>
    <w:rsid w:val="00311F87"/>
    <w:rsid w:val="003120CB"/>
    <w:rsid w:val="00312415"/>
    <w:rsid w:val="00312485"/>
    <w:rsid w:val="00312571"/>
    <w:rsid w:val="0031279D"/>
    <w:rsid w:val="003129AA"/>
    <w:rsid w:val="003129DD"/>
    <w:rsid w:val="00312A12"/>
    <w:rsid w:val="00312C48"/>
    <w:rsid w:val="00312E85"/>
    <w:rsid w:val="00312EA3"/>
    <w:rsid w:val="00312F25"/>
    <w:rsid w:val="003131AD"/>
    <w:rsid w:val="00313461"/>
    <w:rsid w:val="003136B8"/>
    <w:rsid w:val="00313F27"/>
    <w:rsid w:val="003142D4"/>
    <w:rsid w:val="0031435C"/>
    <w:rsid w:val="003144A6"/>
    <w:rsid w:val="003144B2"/>
    <w:rsid w:val="00314663"/>
    <w:rsid w:val="00314905"/>
    <w:rsid w:val="00314920"/>
    <w:rsid w:val="00314C51"/>
    <w:rsid w:val="00314C57"/>
    <w:rsid w:val="00315023"/>
    <w:rsid w:val="0031543D"/>
    <w:rsid w:val="0031572B"/>
    <w:rsid w:val="00315846"/>
    <w:rsid w:val="00315DB2"/>
    <w:rsid w:val="00315DEB"/>
    <w:rsid w:val="0031614D"/>
    <w:rsid w:val="00316CBD"/>
    <w:rsid w:val="00317030"/>
    <w:rsid w:val="00317391"/>
    <w:rsid w:val="0031748F"/>
    <w:rsid w:val="0031791F"/>
    <w:rsid w:val="003179DD"/>
    <w:rsid w:val="00317AA8"/>
    <w:rsid w:val="00317ABB"/>
    <w:rsid w:val="00317F95"/>
    <w:rsid w:val="00317FB9"/>
    <w:rsid w:val="00320078"/>
    <w:rsid w:val="0032009F"/>
    <w:rsid w:val="00320900"/>
    <w:rsid w:val="00321374"/>
    <w:rsid w:val="00321390"/>
    <w:rsid w:val="00321644"/>
    <w:rsid w:val="00321739"/>
    <w:rsid w:val="00321D9E"/>
    <w:rsid w:val="00321EAE"/>
    <w:rsid w:val="00321F33"/>
    <w:rsid w:val="003225F7"/>
    <w:rsid w:val="00322C9C"/>
    <w:rsid w:val="00322FFB"/>
    <w:rsid w:val="00323092"/>
    <w:rsid w:val="003232BA"/>
    <w:rsid w:val="0032360E"/>
    <w:rsid w:val="003238DB"/>
    <w:rsid w:val="00323BEB"/>
    <w:rsid w:val="00323FDD"/>
    <w:rsid w:val="0032447A"/>
    <w:rsid w:val="00324601"/>
    <w:rsid w:val="0032482F"/>
    <w:rsid w:val="00324869"/>
    <w:rsid w:val="00324A59"/>
    <w:rsid w:val="00325614"/>
    <w:rsid w:val="003258AD"/>
    <w:rsid w:val="00325B1D"/>
    <w:rsid w:val="00325BB1"/>
    <w:rsid w:val="00325D33"/>
    <w:rsid w:val="00326135"/>
    <w:rsid w:val="00326209"/>
    <w:rsid w:val="003262B5"/>
    <w:rsid w:val="00326377"/>
    <w:rsid w:val="00326509"/>
    <w:rsid w:val="003267EF"/>
    <w:rsid w:val="003269BF"/>
    <w:rsid w:val="00326A55"/>
    <w:rsid w:val="00326A58"/>
    <w:rsid w:val="00326AAF"/>
    <w:rsid w:val="00326C79"/>
    <w:rsid w:val="00326E74"/>
    <w:rsid w:val="00327103"/>
    <w:rsid w:val="00327462"/>
    <w:rsid w:val="0032747D"/>
    <w:rsid w:val="00327691"/>
    <w:rsid w:val="00327754"/>
    <w:rsid w:val="003277BF"/>
    <w:rsid w:val="003278BE"/>
    <w:rsid w:val="0032799E"/>
    <w:rsid w:val="0033000D"/>
    <w:rsid w:val="00330192"/>
    <w:rsid w:val="00330381"/>
    <w:rsid w:val="00330560"/>
    <w:rsid w:val="00330A40"/>
    <w:rsid w:val="00330E9B"/>
    <w:rsid w:val="003312CD"/>
    <w:rsid w:val="0033138C"/>
    <w:rsid w:val="0033144C"/>
    <w:rsid w:val="00331542"/>
    <w:rsid w:val="0033162D"/>
    <w:rsid w:val="00331891"/>
    <w:rsid w:val="00332126"/>
    <w:rsid w:val="0033220F"/>
    <w:rsid w:val="003322D6"/>
    <w:rsid w:val="00332389"/>
    <w:rsid w:val="003323C5"/>
    <w:rsid w:val="003325CD"/>
    <w:rsid w:val="003328EE"/>
    <w:rsid w:val="00332A40"/>
    <w:rsid w:val="00332A84"/>
    <w:rsid w:val="00332E5A"/>
    <w:rsid w:val="00332EA7"/>
    <w:rsid w:val="00333336"/>
    <w:rsid w:val="00333431"/>
    <w:rsid w:val="00333873"/>
    <w:rsid w:val="003339A2"/>
    <w:rsid w:val="00333CFF"/>
    <w:rsid w:val="0033440E"/>
    <w:rsid w:val="00334450"/>
    <w:rsid w:val="003346E8"/>
    <w:rsid w:val="003349F2"/>
    <w:rsid w:val="00334AC1"/>
    <w:rsid w:val="00334B61"/>
    <w:rsid w:val="00334FDF"/>
    <w:rsid w:val="00335094"/>
    <w:rsid w:val="00335160"/>
    <w:rsid w:val="003353E0"/>
    <w:rsid w:val="00335462"/>
    <w:rsid w:val="00335833"/>
    <w:rsid w:val="00335D41"/>
    <w:rsid w:val="00335EA7"/>
    <w:rsid w:val="00335EAD"/>
    <w:rsid w:val="00335F83"/>
    <w:rsid w:val="00336091"/>
    <w:rsid w:val="003363CC"/>
    <w:rsid w:val="003365A7"/>
    <w:rsid w:val="00336762"/>
    <w:rsid w:val="00336777"/>
    <w:rsid w:val="00336C5F"/>
    <w:rsid w:val="00336D7B"/>
    <w:rsid w:val="00336F35"/>
    <w:rsid w:val="003370B6"/>
    <w:rsid w:val="003370FD"/>
    <w:rsid w:val="00337469"/>
    <w:rsid w:val="003377F0"/>
    <w:rsid w:val="0033784B"/>
    <w:rsid w:val="00337D97"/>
    <w:rsid w:val="00337D9B"/>
    <w:rsid w:val="00337FA9"/>
    <w:rsid w:val="003403AB"/>
    <w:rsid w:val="0034080E"/>
    <w:rsid w:val="0034094E"/>
    <w:rsid w:val="00341018"/>
    <w:rsid w:val="00341176"/>
    <w:rsid w:val="003412CB"/>
    <w:rsid w:val="00341EBE"/>
    <w:rsid w:val="0034218F"/>
    <w:rsid w:val="003421C5"/>
    <w:rsid w:val="00342576"/>
    <w:rsid w:val="00342CFF"/>
    <w:rsid w:val="00342DE5"/>
    <w:rsid w:val="00342F36"/>
    <w:rsid w:val="0034302E"/>
    <w:rsid w:val="0034302F"/>
    <w:rsid w:val="00343232"/>
    <w:rsid w:val="00343263"/>
    <w:rsid w:val="00343268"/>
    <w:rsid w:val="00343380"/>
    <w:rsid w:val="00343644"/>
    <w:rsid w:val="0034376B"/>
    <w:rsid w:val="003437A0"/>
    <w:rsid w:val="003437B2"/>
    <w:rsid w:val="00343A47"/>
    <w:rsid w:val="00343E69"/>
    <w:rsid w:val="00344159"/>
    <w:rsid w:val="003441F3"/>
    <w:rsid w:val="003442CA"/>
    <w:rsid w:val="003445C5"/>
    <w:rsid w:val="0034468C"/>
    <w:rsid w:val="003447C7"/>
    <w:rsid w:val="00344889"/>
    <w:rsid w:val="003449D7"/>
    <w:rsid w:val="00344D72"/>
    <w:rsid w:val="003451E9"/>
    <w:rsid w:val="00345A5D"/>
    <w:rsid w:val="00345ACD"/>
    <w:rsid w:val="00345F45"/>
    <w:rsid w:val="00346217"/>
    <w:rsid w:val="00346516"/>
    <w:rsid w:val="00346522"/>
    <w:rsid w:val="003467C4"/>
    <w:rsid w:val="0034690C"/>
    <w:rsid w:val="00346973"/>
    <w:rsid w:val="00346E10"/>
    <w:rsid w:val="00347462"/>
    <w:rsid w:val="00347AEA"/>
    <w:rsid w:val="00347D36"/>
    <w:rsid w:val="00347D67"/>
    <w:rsid w:val="00347EA2"/>
    <w:rsid w:val="00350150"/>
    <w:rsid w:val="00350466"/>
    <w:rsid w:val="003504BC"/>
    <w:rsid w:val="00350655"/>
    <w:rsid w:val="00350ABC"/>
    <w:rsid w:val="00350F98"/>
    <w:rsid w:val="00351620"/>
    <w:rsid w:val="00351A5F"/>
    <w:rsid w:val="00351D67"/>
    <w:rsid w:val="00351E74"/>
    <w:rsid w:val="00351EC9"/>
    <w:rsid w:val="00352408"/>
    <w:rsid w:val="00352481"/>
    <w:rsid w:val="00352696"/>
    <w:rsid w:val="00352832"/>
    <w:rsid w:val="0035295C"/>
    <w:rsid w:val="00352A32"/>
    <w:rsid w:val="00352AD5"/>
    <w:rsid w:val="00352D1C"/>
    <w:rsid w:val="00352D72"/>
    <w:rsid w:val="00352E74"/>
    <w:rsid w:val="003532AB"/>
    <w:rsid w:val="003532E8"/>
    <w:rsid w:val="0035331E"/>
    <w:rsid w:val="00353566"/>
    <w:rsid w:val="003535A6"/>
    <w:rsid w:val="0035402A"/>
    <w:rsid w:val="0035414A"/>
    <w:rsid w:val="0035459A"/>
    <w:rsid w:val="00354AED"/>
    <w:rsid w:val="00355253"/>
    <w:rsid w:val="00355803"/>
    <w:rsid w:val="00355B17"/>
    <w:rsid w:val="00355B60"/>
    <w:rsid w:val="00355B89"/>
    <w:rsid w:val="00355F15"/>
    <w:rsid w:val="00356006"/>
    <w:rsid w:val="00356138"/>
    <w:rsid w:val="0035620C"/>
    <w:rsid w:val="0035640F"/>
    <w:rsid w:val="00356665"/>
    <w:rsid w:val="0035677D"/>
    <w:rsid w:val="00356B37"/>
    <w:rsid w:val="00356CE7"/>
    <w:rsid w:val="003571B5"/>
    <w:rsid w:val="003572D9"/>
    <w:rsid w:val="00357370"/>
    <w:rsid w:val="003573EB"/>
    <w:rsid w:val="00357704"/>
    <w:rsid w:val="00357782"/>
    <w:rsid w:val="003578E6"/>
    <w:rsid w:val="00357947"/>
    <w:rsid w:val="00357A45"/>
    <w:rsid w:val="00357CC2"/>
    <w:rsid w:val="00357CCB"/>
    <w:rsid w:val="00360199"/>
    <w:rsid w:val="00360616"/>
    <w:rsid w:val="00360652"/>
    <w:rsid w:val="0036076D"/>
    <w:rsid w:val="0036095B"/>
    <w:rsid w:val="00360B91"/>
    <w:rsid w:val="00360DB8"/>
    <w:rsid w:val="00361669"/>
    <w:rsid w:val="003617F8"/>
    <w:rsid w:val="00361A50"/>
    <w:rsid w:val="00361A5A"/>
    <w:rsid w:val="00361AD3"/>
    <w:rsid w:val="00361B70"/>
    <w:rsid w:val="00361C03"/>
    <w:rsid w:val="00362271"/>
    <w:rsid w:val="00362479"/>
    <w:rsid w:val="00362591"/>
    <w:rsid w:val="0036265F"/>
    <w:rsid w:val="00362DF9"/>
    <w:rsid w:val="00362F3F"/>
    <w:rsid w:val="00363145"/>
    <w:rsid w:val="0036317A"/>
    <w:rsid w:val="00363362"/>
    <w:rsid w:val="00363587"/>
    <w:rsid w:val="00363741"/>
    <w:rsid w:val="00363784"/>
    <w:rsid w:val="0036394D"/>
    <w:rsid w:val="00363A72"/>
    <w:rsid w:val="00363B39"/>
    <w:rsid w:val="00363BAB"/>
    <w:rsid w:val="00364196"/>
    <w:rsid w:val="003642DD"/>
    <w:rsid w:val="0036474D"/>
    <w:rsid w:val="00364A4D"/>
    <w:rsid w:val="00364A61"/>
    <w:rsid w:val="00364C68"/>
    <w:rsid w:val="00365138"/>
    <w:rsid w:val="00365269"/>
    <w:rsid w:val="003654CB"/>
    <w:rsid w:val="003656C4"/>
    <w:rsid w:val="00365A3D"/>
    <w:rsid w:val="00365AA3"/>
    <w:rsid w:val="00366618"/>
    <w:rsid w:val="00366690"/>
    <w:rsid w:val="003666BA"/>
    <w:rsid w:val="00366992"/>
    <w:rsid w:val="00366B9C"/>
    <w:rsid w:val="00366CFE"/>
    <w:rsid w:val="00366E15"/>
    <w:rsid w:val="00366FBB"/>
    <w:rsid w:val="003670AB"/>
    <w:rsid w:val="00367633"/>
    <w:rsid w:val="00367953"/>
    <w:rsid w:val="00367B15"/>
    <w:rsid w:val="00367B5B"/>
    <w:rsid w:val="00367BCA"/>
    <w:rsid w:val="00367CA0"/>
    <w:rsid w:val="00367CC3"/>
    <w:rsid w:val="00367EEB"/>
    <w:rsid w:val="0037001B"/>
    <w:rsid w:val="00370197"/>
    <w:rsid w:val="003702DA"/>
    <w:rsid w:val="003707C0"/>
    <w:rsid w:val="003708BB"/>
    <w:rsid w:val="00370906"/>
    <w:rsid w:val="00370922"/>
    <w:rsid w:val="00370947"/>
    <w:rsid w:val="00370DDF"/>
    <w:rsid w:val="00371663"/>
    <w:rsid w:val="00371D00"/>
    <w:rsid w:val="00372656"/>
    <w:rsid w:val="003728EB"/>
    <w:rsid w:val="00372D52"/>
    <w:rsid w:val="00373011"/>
    <w:rsid w:val="00373084"/>
    <w:rsid w:val="00373692"/>
    <w:rsid w:val="00373926"/>
    <w:rsid w:val="00373936"/>
    <w:rsid w:val="00373E10"/>
    <w:rsid w:val="00373FDA"/>
    <w:rsid w:val="00374455"/>
    <w:rsid w:val="00374677"/>
    <w:rsid w:val="003748D4"/>
    <w:rsid w:val="00374B05"/>
    <w:rsid w:val="00374B75"/>
    <w:rsid w:val="0037542F"/>
    <w:rsid w:val="003759BB"/>
    <w:rsid w:val="00375DE0"/>
    <w:rsid w:val="00375FBC"/>
    <w:rsid w:val="00376106"/>
    <w:rsid w:val="00376351"/>
    <w:rsid w:val="003766EC"/>
    <w:rsid w:val="00376AF3"/>
    <w:rsid w:val="00377268"/>
    <w:rsid w:val="003774ED"/>
    <w:rsid w:val="003776F5"/>
    <w:rsid w:val="003777D6"/>
    <w:rsid w:val="003779D2"/>
    <w:rsid w:val="003800F4"/>
    <w:rsid w:val="00380347"/>
    <w:rsid w:val="00380648"/>
    <w:rsid w:val="00380A99"/>
    <w:rsid w:val="00380D90"/>
    <w:rsid w:val="00380E23"/>
    <w:rsid w:val="0038130B"/>
    <w:rsid w:val="0038142D"/>
    <w:rsid w:val="00381687"/>
    <w:rsid w:val="00381C2C"/>
    <w:rsid w:val="00381EFC"/>
    <w:rsid w:val="00382263"/>
    <w:rsid w:val="003822D9"/>
    <w:rsid w:val="003823ED"/>
    <w:rsid w:val="00382517"/>
    <w:rsid w:val="0038294D"/>
    <w:rsid w:val="003829C7"/>
    <w:rsid w:val="00382BDE"/>
    <w:rsid w:val="00382D2D"/>
    <w:rsid w:val="00382F0A"/>
    <w:rsid w:val="00382FA6"/>
    <w:rsid w:val="00382FB3"/>
    <w:rsid w:val="0038306E"/>
    <w:rsid w:val="003831C7"/>
    <w:rsid w:val="003833C9"/>
    <w:rsid w:val="003835D5"/>
    <w:rsid w:val="0038369E"/>
    <w:rsid w:val="00383723"/>
    <w:rsid w:val="00383F39"/>
    <w:rsid w:val="00384827"/>
    <w:rsid w:val="00384941"/>
    <w:rsid w:val="00384A1E"/>
    <w:rsid w:val="00384B70"/>
    <w:rsid w:val="00384D64"/>
    <w:rsid w:val="00384F0E"/>
    <w:rsid w:val="0038503E"/>
    <w:rsid w:val="00385095"/>
    <w:rsid w:val="003853E1"/>
    <w:rsid w:val="003854AC"/>
    <w:rsid w:val="003859E2"/>
    <w:rsid w:val="00385CCC"/>
    <w:rsid w:val="00385F52"/>
    <w:rsid w:val="00385F5B"/>
    <w:rsid w:val="00386138"/>
    <w:rsid w:val="003862AD"/>
    <w:rsid w:val="0038688B"/>
    <w:rsid w:val="00386EBC"/>
    <w:rsid w:val="00387169"/>
    <w:rsid w:val="00387670"/>
    <w:rsid w:val="003876C0"/>
    <w:rsid w:val="00387A30"/>
    <w:rsid w:val="00390403"/>
    <w:rsid w:val="003904CD"/>
    <w:rsid w:val="003904EA"/>
    <w:rsid w:val="003904FC"/>
    <w:rsid w:val="00390701"/>
    <w:rsid w:val="003907E5"/>
    <w:rsid w:val="00390A4C"/>
    <w:rsid w:val="00390B7A"/>
    <w:rsid w:val="0039123C"/>
    <w:rsid w:val="00391353"/>
    <w:rsid w:val="003915BA"/>
    <w:rsid w:val="0039170A"/>
    <w:rsid w:val="00391777"/>
    <w:rsid w:val="00391896"/>
    <w:rsid w:val="003918BF"/>
    <w:rsid w:val="003919D2"/>
    <w:rsid w:val="003919EC"/>
    <w:rsid w:val="003920AC"/>
    <w:rsid w:val="003921F1"/>
    <w:rsid w:val="003921F9"/>
    <w:rsid w:val="00392325"/>
    <w:rsid w:val="0039233D"/>
    <w:rsid w:val="00392906"/>
    <w:rsid w:val="0039297F"/>
    <w:rsid w:val="003929D1"/>
    <w:rsid w:val="00392D1A"/>
    <w:rsid w:val="00392D34"/>
    <w:rsid w:val="003931E9"/>
    <w:rsid w:val="00393798"/>
    <w:rsid w:val="00393940"/>
    <w:rsid w:val="00393EF1"/>
    <w:rsid w:val="003944A3"/>
    <w:rsid w:val="00394515"/>
    <w:rsid w:val="003945C1"/>
    <w:rsid w:val="0039477E"/>
    <w:rsid w:val="003948C6"/>
    <w:rsid w:val="00394A92"/>
    <w:rsid w:val="00394D65"/>
    <w:rsid w:val="00395140"/>
    <w:rsid w:val="00395C09"/>
    <w:rsid w:val="003960C4"/>
    <w:rsid w:val="003960EF"/>
    <w:rsid w:val="00396534"/>
    <w:rsid w:val="003966F2"/>
    <w:rsid w:val="00396853"/>
    <w:rsid w:val="003968F4"/>
    <w:rsid w:val="0039694A"/>
    <w:rsid w:val="00396E5E"/>
    <w:rsid w:val="00397007"/>
    <w:rsid w:val="00397252"/>
    <w:rsid w:val="00397381"/>
    <w:rsid w:val="0039762C"/>
    <w:rsid w:val="003976BE"/>
    <w:rsid w:val="00397CFF"/>
    <w:rsid w:val="00397E5F"/>
    <w:rsid w:val="003A05E8"/>
    <w:rsid w:val="003A07EA"/>
    <w:rsid w:val="003A0EBE"/>
    <w:rsid w:val="003A0F98"/>
    <w:rsid w:val="003A1014"/>
    <w:rsid w:val="003A16E7"/>
    <w:rsid w:val="003A16FA"/>
    <w:rsid w:val="003A1884"/>
    <w:rsid w:val="003A1888"/>
    <w:rsid w:val="003A1C45"/>
    <w:rsid w:val="003A1D65"/>
    <w:rsid w:val="003A1E9D"/>
    <w:rsid w:val="003A2282"/>
    <w:rsid w:val="003A26D9"/>
    <w:rsid w:val="003A27C9"/>
    <w:rsid w:val="003A2F28"/>
    <w:rsid w:val="003A2F37"/>
    <w:rsid w:val="003A3301"/>
    <w:rsid w:val="003A3340"/>
    <w:rsid w:val="003A3410"/>
    <w:rsid w:val="003A3B41"/>
    <w:rsid w:val="003A3BBF"/>
    <w:rsid w:val="003A3CAD"/>
    <w:rsid w:val="003A3E83"/>
    <w:rsid w:val="003A40D6"/>
    <w:rsid w:val="003A42D9"/>
    <w:rsid w:val="003A43A2"/>
    <w:rsid w:val="003A4610"/>
    <w:rsid w:val="003A46C0"/>
    <w:rsid w:val="003A48A0"/>
    <w:rsid w:val="003A4B10"/>
    <w:rsid w:val="003A510E"/>
    <w:rsid w:val="003A54C7"/>
    <w:rsid w:val="003A5776"/>
    <w:rsid w:val="003A5912"/>
    <w:rsid w:val="003A5AB3"/>
    <w:rsid w:val="003A6151"/>
    <w:rsid w:val="003A6246"/>
    <w:rsid w:val="003A63E6"/>
    <w:rsid w:val="003A64B7"/>
    <w:rsid w:val="003A651B"/>
    <w:rsid w:val="003A672B"/>
    <w:rsid w:val="003A6754"/>
    <w:rsid w:val="003A675D"/>
    <w:rsid w:val="003A6852"/>
    <w:rsid w:val="003A68BA"/>
    <w:rsid w:val="003A6A08"/>
    <w:rsid w:val="003A6AAF"/>
    <w:rsid w:val="003A6B79"/>
    <w:rsid w:val="003A720B"/>
    <w:rsid w:val="003A7745"/>
    <w:rsid w:val="003A78ED"/>
    <w:rsid w:val="003A7B7D"/>
    <w:rsid w:val="003B0108"/>
    <w:rsid w:val="003B0163"/>
    <w:rsid w:val="003B0874"/>
    <w:rsid w:val="003B0A34"/>
    <w:rsid w:val="003B0AF6"/>
    <w:rsid w:val="003B0B70"/>
    <w:rsid w:val="003B0F8A"/>
    <w:rsid w:val="003B1035"/>
    <w:rsid w:val="003B1062"/>
    <w:rsid w:val="003B108A"/>
    <w:rsid w:val="003B183B"/>
    <w:rsid w:val="003B19BE"/>
    <w:rsid w:val="003B19D8"/>
    <w:rsid w:val="003B1AAE"/>
    <w:rsid w:val="003B1B35"/>
    <w:rsid w:val="003B1D1C"/>
    <w:rsid w:val="003B23B2"/>
    <w:rsid w:val="003B2522"/>
    <w:rsid w:val="003B27CF"/>
    <w:rsid w:val="003B2A44"/>
    <w:rsid w:val="003B2A4F"/>
    <w:rsid w:val="003B2A6C"/>
    <w:rsid w:val="003B2EB3"/>
    <w:rsid w:val="003B2EEB"/>
    <w:rsid w:val="003B30AF"/>
    <w:rsid w:val="003B3661"/>
    <w:rsid w:val="003B36A1"/>
    <w:rsid w:val="003B3700"/>
    <w:rsid w:val="003B38E5"/>
    <w:rsid w:val="003B3912"/>
    <w:rsid w:val="003B3D81"/>
    <w:rsid w:val="003B4750"/>
    <w:rsid w:val="003B4849"/>
    <w:rsid w:val="003B494F"/>
    <w:rsid w:val="003B5403"/>
    <w:rsid w:val="003B5892"/>
    <w:rsid w:val="003B60C8"/>
    <w:rsid w:val="003B641A"/>
    <w:rsid w:val="003B64D8"/>
    <w:rsid w:val="003B67D5"/>
    <w:rsid w:val="003B6815"/>
    <w:rsid w:val="003B69CA"/>
    <w:rsid w:val="003B6CB6"/>
    <w:rsid w:val="003B7472"/>
    <w:rsid w:val="003B7477"/>
    <w:rsid w:val="003B75CF"/>
    <w:rsid w:val="003B75E7"/>
    <w:rsid w:val="003B7784"/>
    <w:rsid w:val="003C0A84"/>
    <w:rsid w:val="003C0BB9"/>
    <w:rsid w:val="003C0DBE"/>
    <w:rsid w:val="003C0E96"/>
    <w:rsid w:val="003C130F"/>
    <w:rsid w:val="003C169C"/>
    <w:rsid w:val="003C1834"/>
    <w:rsid w:val="003C1980"/>
    <w:rsid w:val="003C19D9"/>
    <w:rsid w:val="003C1E37"/>
    <w:rsid w:val="003C1E5C"/>
    <w:rsid w:val="003C2120"/>
    <w:rsid w:val="003C22AC"/>
    <w:rsid w:val="003C24F8"/>
    <w:rsid w:val="003C2584"/>
    <w:rsid w:val="003C25CA"/>
    <w:rsid w:val="003C2872"/>
    <w:rsid w:val="003C2A64"/>
    <w:rsid w:val="003C2CFD"/>
    <w:rsid w:val="003C3174"/>
    <w:rsid w:val="003C322A"/>
    <w:rsid w:val="003C3466"/>
    <w:rsid w:val="003C372B"/>
    <w:rsid w:val="003C37B1"/>
    <w:rsid w:val="003C397B"/>
    <w:rsid w:val="003C3BB0"/>
    <w:rsid w:val="003C3C24"/>
    <w:rsid w:val="003C3D25"/>
    <w:rsid w:val="003C3F35"/>
    <w:rsid w:val="003C40EB"/>
    <w:rsid w:val="003C415F"/>
    <w:rsid w:val="003C43A4"/>
    <w:rsid w:val="003C43A8"/>
    <w:rsid w:val="003C4970"/>
    <w:rsid w:val="003C4C7D"/>
    <w:rsid w:val="003C4C91"/>
    <w:rsid w:val="003C531C"/>
    <w:rsid w:val="003C5354"/>
    <w:rsid w:val="003C539B"/>
    <w:rsid w:val="003C55D4"/>
    <w:rsid w:val="003C55F9"/>
    <w:rsid w:val="003C5F14"/>
    <w:rsid w:val="003C5FD7"/>
    <w:rsid w:val="003C6C9F"/>
    <w:rsid w:val="003C6CDB"/>
    <w:rsid w:val="003C6D0A"/>
    <w:rsid w:val="003C6D57"/>
    <w:rsid w:val="003C71B3"/>
    <w:rsid w:val="003C7A38"/>
    <w:rsid w:val="003C7DFE"/>
    <w:rsid w:val="003C7EB7"/>
    <w:rsid w:val="003C7FBE"/>
    <w:rsid w:val="003D078C"/>
    <w:rsid w:val="003D08B9"/>
    <w:rsid w:val="003D094D"/>
    <w:rsid w:val="003D0ABB"/>
    <w:rsid w:val="003D1359"/>
    <w:rsid w:val="003D16EB"/>
    <w:rsid w:val="003D18EB"/>
    <w:rsid w:val="003D1BAE"/>
    <w:rsid w:val="003D2172"/>
    <w:rsid w:val="003D2173"/>
    <w:rsid w:val="003D217F"/>
    <w:rsid w:val="003D23EB"/>
    <w:rsid w:val="003D247E"/>
    <w:rsid w:val="003D24E7"/>
    <w:rsid w:val="003D25A3"/>
    <w:rsid w:val="003D26AB"/>
    <w:rsid w:val="003D271F"/>
    <w:rsid w:val="003D2DC7"/>
    <w:rsid w:val="003D2F65"/>
    <w:rsid w:val="003D31F5"/>
    <w:rsid w:val="003D33B0"/>
    <w:rsid w:val="003D3481"/>
    <w:rsid w:val="003D35EC"/>
    <w:rsid w:val="003D3665"/>
    <w:rsid w:val="003D428D"/>
    <w:rsid w:val="003D4329"/>
    <w:rsid w:val="003D470B"/>
    <w:rsid w:val="003D4717"/>
    <w:rsid w:val="003D4719"/>
    <w:rsid w:val="003D4895"/>
    <w:rsid w:val="003D4936"/>
    <w:rsid w:val="003D496A"/>
    <w:rsid w:val="003D49EC"/>
    <w:rsid w:val="003D4C94"/>
    <w:rsid w:val="003D4CCF"/>
    <w:rsid w:val="003D505F"/>
    <w:rsid w:val="003D526B"/>
    <w:rsid w:val="003D54D1"/>
    <w:rsid w:val="003D5963"/>
    <w:rsid w:val="003D5969"/>
    <w:rsid w:val="003D5983"/>
    <w:rsid w:val="003D5998"/>
    <w:rsid w:val="003D5C52"/>
    <w:rsid w:val="003D5D10"/>
    <w:rsid w:val="003D6343"/>
    <w:rsid w:val="003D6563"/>
    <w:rsid w:val="003D69AA"/>
    <w:rsid w:val="003D6EA8"/>
    <w:rsid w:val="003D7642"/>
    <w:rsid w:val="003D7875"/>
    <w:rsid w:val="003D7905"/>
    <w:rsid w:val="003D793B"/>
    <w:rsid w:val="003D79E2"/>
    <w:rsid w:val="003D7B9E"/>
    <w:rsid w:val="003D7D8D"/>
    <w:rsid w:val="003D7DDA"/>
    <w:rsid w:val="003D7ED6"/>
    <w:rsid w:val="003E0090"/>
    <w:rsid w:val="003E0108"/>
    <w:rsid w:val="003E02BF"/>
    <w:rsid w:val="003E035F"/>
    <w:rsid w:val="003E0A10"/>
    <w:rsid w:val="003E0E4A"/>
    <w:rsid w:val="003E0FFD"/>
    <w:rsid w:val="003E133A"/>
    <w:rsid w:val="003E173E"/>
    <w:rsid w:val="003E18BC"/>
    <w:rsid w:val="003E1D2B"/>
    <w:rsid w:val="003E1DA2"/>
    <w:rsid w:val="003E2149"/>
    <w:rsid w:val="003E2BCE"/>
    <w:rsid w:val="003E2C98"/>
    <w:rsid w:val="003E3021"/>
    <w:rsid w:val="003E314A"/>
    <w:rsid w:val="003E333C"/>
    <w:rsid w:val="003E33D9"/>
    <w:rsid w:val="003E3472"/>
    <w:rsid w:val="003E38CA"/>
    <w:rsid w:val="003E3DFA"/>
    <w:rsid w:val="003E3EB9"/>
    <w:rsid w:val="003E407B"/>
    <w:rsid w:val="003E4979"/>
    <w:rsid w:val="003E568F"/>
    <w:rsid w:val="003E5CAB"/>
    <w:rsid w:val="003E5CD1"/>
    <w:rsid w:val="003E5D0F"/>
    <w:rsid w:val="003E5D89"/>
    <w:rsid w:val="003E5E0C"/>
    <w:rsid w:val="003E5F3F"/>
    <w:rsid w:val="003E6194"/>
    <w:rsid w:val="003E6238"/>
    <w:rsid w:val="003E62BC"/>
    <w:rsid w:val="003E6668"/>
    <w:rsid w:val="003E6A12"/>
    <w:rsid w:val="003E6F72"/>
    <w:rsid w:val="003E6FD6"/>
    <w:rsid w:val="003E7766"/>
    <w:rsid w:val="003E7861"/>
    <w:rsid w:val="003E7B7C"/>
    <w:rsid w:val="003E7DEF"/>
    <w:rsid w:val="003E7EAD"/>
    <w:rsid w:val="003F017E"/>
    <w:rsid w:val="003F0475"/>
    <w:rsid w:val="003F09E2"/>
    <w:rsid w:val="003F0B04"/>
    <w:rsid w:val="003F0C69"/>
    <w:rsid w:val="003F12B1"/>
    <w:rsid w:val="003F1379"/>
    <w:rsid w:val="003F16D2"/>
    <w:rsid w:val="003F1809"/>
    <w:rsid w:val="003F184B"/>
    <w:rsid w:val="003F1C2F"/>
    <w:rsid w:val="003F1E25"/>
    <w:rsid w:val="003F1F54"/>
    <w:rsid w:val="003F211A"/>
    <w:rsid w:val="003F254A"/>
    <w:rsid w:val="003F2609"/>
    <w:rsid w:val="003F2736"/>
    <w:rsid w:val="003F2862"/>
    <w:rsid w:val="003F2A10"/>
    <w:rsid w:val="003F2C04"/>
    <w:rsid w:val="003F2C5C"/>
    <w:rsid w:val="003F2C7D"/>
    <w:rsid w:val="003F2E61"/>
    <w:rsid w:val="003F3117"/>
    <w:rsid w:val="003F3373"/>
    <w:rsid w:val="003F35FA"/>
    <w:rsid w:val="003F39B2"/>
    <w:rsid w:val="003F3A09"/>
    <w:rsid w:val="003F3AE6"/>
    <w:rsid w:val="003F3BBB"/>
    <w:rsid w:val="003F3BEF"/>
    <w:rsid w:val="003F3C37"/>
    <w:rsid w:val="003F3D05"/>
    <w:rsid w:val="003F4214"/>
    <w:rsid w:val="003F4461"/>
    <w:rsid w:val="003F45A2"/>
    <w:rsid w:val="003F4746"/>
    <w:rsid w:val="003F4D3F"/>
    <w:rsid w:val="003F4D70"/>
    <w:rsid w:val="003F4DB1"/>
    <w:rsid w:val="003F5BE0"/>
    <w:rsid w:val="003F5C28"/>
    <w:rsid w:val="003F5D27"/>
    <w:rsid w:val="003F5D31"/>
    <w:rsid w:val="003F5EA5"/>
    <w:rsid w:val="003F5F58"/>
    <w:rsid w:val="003F5F93"/>
    <w:rsid w:val="003F60C3"/>
    <w:rsid w:val="003F64DD"/>
    <w:rsid w:val="003F68D9"/>
    <w:rsid w:val="003F6D12"/>
    <w:rsid w:val="003F70E5"/>
    <w:rsid w:val="003F70F6"/>
    <w:rsid w:val="003F721F"/>
    <w:rsid w:val="003F7763"/>
    <w:rsid w:val="003F7905"/>
    <w:rsid w:val="003F7B8D"/>
    <w:rsid w:val="003F7BC7"/>
    <w:rsid w:val="003F7D93"/>
    <w:rsid w:val="003F7EEE"/>
    <w:rsid w:val="003F7FE9"/>
    <w:rsid w:val="00400B8F"/>
    <w:rsid w:val="00401298"/>
    <w:rsid w:val="004015C4"/>
    <w:rsid w:val="00401CE8"/>
    <w:rsid w:val="00401E42"/>
    <w:rsid w:val="00401F3B"/>
    <w:rsid w:val="0040211B"/>
    <w:rsid w:val="004022FA"/>
    <w:rsid w:val="004024F0"/>
    <w:rsid w:val="00402641"/>
    <w:rsid w:val="004026A4"/>
    <w:rsid w:val="004029AA"/>
    <w:rsid w:val="00402EEC"/>
    <w:rsid w:val="0040301C"/>
    <w:rsid w:val="0040322F"/>
    <w:rsid w:val="00403286"/>
    <w:rsid w:val="004034CF"/>
    <w:rsid w:val="004037AC"/>
    <w:rsid w:val="00403827"/>
    <w:rsid w:val="00403E26"/>
    <w:rsid w:val="00403FD6"/>
    <w:rsid w:val="00404031"/>
    <w:rsid w:val="0040404C"/>
    <w:rsid w:val="004042EF"/>
    <w:rsid w:val="0040444F"/>
    <w:rsid w:val="00404635"/>
    <w:rsid w:val="00404874"/>
    <w:rsid w:val="00404AA2"/>
    <w:rsid w:val="00404C9E"/>
    <w:rsid w:val="00404F70"/>
    <w:rsid w:val="00405078"/>
    <w:rsid w:val="0040511E"/>
    <w:rsid w:val="00405227"/>
    <w:rsid w:val="00405CCC"/>
    <w:rsid w:val="00405DD6"/>
    <w:rsid w:val="00405EEB"/>
    <w:rsid w:val="004060CB"/>
    <w:rsid w:val="004068DC"/>
    <w:rsid w:val="00406BC6"/>
    <w:rsid w:val="00406C80"/>
    <w:rsid w:val="00406CA9"/>
    <w:rsid w:val="00407067"/>
    <w:rsid w:val="004070B6"/>
    <w:rsid w:val="004072AF"/>
    <w:rsid w:val="00407310"/>
    <w:rsid w:val="00407395"/>
    <w:rsid w:val="00407602"/>
    <w:rsid w:val="004078B1"/>
    <w:rsid w:val="00407D23"/>
    <w:rsid w:val="00407E1A"/>
    <w:rsid w:val="00410114"/>
    <w:rsid w:val="0041028A"/>
    <w:rsid w:val="00410338"/>
    <w:rsid w:val="00410661"/>
    <w:rsid w:val="004106A8"/>
    <w:rsid w:val="00411C41"/>
    <w:rsid w:val="00411D89"/>
    <w:rsid w:val="00411E85"/>
    <w:rsid w:val="0041210F"/>
    <w:rsid w:val="0041225C"/>
    <w:rsid w:val="004124BD"/>
    <w:rsid w:val="004127B1"/>
    <w:rsid w:val="00412ED3"/>
    <w:rsid w:val="00413212"/>
    <w:rsid w:val="00413734"/>
    <w:rsid w:val="004137B1"/>
    <w:rsid w:val="004137E0"/>
    <w:rsid w:val="00413868"/>
    <w:rsid w:val="0041394D"/>
    <w:rsid w:val="00413B68"/>
    <w:rsid w:val="00413E65"/>
    <w:rsid w:val="004140AB"/>
    <w:rsid w:val="0041443D"/>
    <w:rsid w:val="00414903"/>
    <w:rsid w:val="004149AE"/>
    <w:rsid w:val="00414B74"/>
    <w:rsid w:val="00414C7C"/>
    <w:rsid w:val="00414EA8"/>
    <w:rsid w:val="00414F26"/>
    <w:rsid w:val="00414F87"/>
    <w:rsid w:val="004153A2"/>
    <w:rsid w:val="004153E8"/>
    <w:rsid w:val="004154BC"/>
    <w:rsid w:val="004154C5"/>
    <w:rsid w:val="00415554"/>
    <w:rsid w:val="004155EC"/>
    <w:rsid w:val="0041561D"/>
    <w:rsid w:val="00415850"/>
    <w:rsid w:val="004158FD"/>
    <w:rsid w:val="004159B7"/>
    <w:rsid w:val="004163AB"/>
    <w:rsid w:val="00416742"/>
    <w:rsid w:val="004168A6"/>
    <w:rsid w:val="00416EBA"/>
    <w:rsid w:val="00417029"/>
    <w:rsid w:val="004170E8"/>
    <w:rsid w:val="00417542"/>
    <w:rsid w:val="00417AE2"/>
    <w:rsid w:val="004206DA"/>
    <w:rsid w:val="00420896"/>
    <w:rsid w:val="00420C7B"/>
    <w:rsid w:val="00421081"/>
    <w:rsid w:val="004213B6"/>
    <w:rsid w:val="004214B9"/>
    <w:rsid w:val="004215F9"/>
    <w:rsid w:val="00421830"/>
    <w:rsid w:val="00421848"/>
    <w:rsid w:val="00421876"/>
    <w:rsid w:val="0042198F"/>
    <w:rsid w:val="00421B86"/>
    <w:rsid w:val="00422C14"/>
    <w:rsid w:val="00422C8D"/>
    <w:rsid w:val="00422ECF"/>
    <w:rsid w:val="00422ED6"/>
    <w:rsid w:val="004231EF"/>
    <w:rsid w:val="00423330"/>
    <w:rsid w:val="0042344F"/>
    <w:rsid w:val="00423647"/>
    <w:rsid w:val="004236BF"/>
    <w:rsid w:val="00423758"/>
    <w:rsid w:val="0042393D"/>
    <w:rsid w:val="004239C9"/>
    <w:rsid w:val="0042402E"/>
    <w:rsid w:val="0042409C"/>
    <w:rsid w:val="0042454F"/>
    <w:rsid w:val="0042467B"/>
    <w:rsid w:val="004256AF"/>
    <w:rsid w:val="00425A05"/>
    <w:rsid w:val="00425AD0"/>
    <w:rsid w:val="00425BB9"/>
    <w:rsid w:val="00425D76"/>
    <w:rsid w:val="00426425"/>
    <w:rsid w:val="00426447"/>
    <w:rsid w:val="00426721"/>
    <w:rsid w:val="00426726"/>
    <w:rsid w:val="004269BB"/>
    <w:rsid w:val="00426D3D"/>
    <w:rsid w:val="00426D4D"/>
    <w:rsid w:val="00426D70"/>
    <w:rsid w:val="0042761C"/>
    <w:rsid w:val="004302E1"/>
    <w:rsid w:val="004303BB"/>
    <w:rsid w:val="00431078"/>
    <w:rsid w:val="00431154"/>
    <w:rsid w:val="0043115C"/>
    <w:rsid w:val="0043154B"/>
    <w:rsid w:val="00431856"/>
    <w:rsid w:val="004318E8"/>
    <w:rsid w:val="00431BD2"/>
    <w:rsid w:val="00431C51"/>
    <w:rsid w:val="00431C6C"/>
    <w:rsid w:val="00431CA0"/>
    <w:rsid w:val="00431CA8"/>
    <w:rsid w:val="00431F22"/>
    <w:rsid w:val="00431F58"/>
    <w:rsid w:val="004321FD"/>
    <w:rsid w:val="0043270F"/>
    <w:rsid w:val="00432820"/>
    <w:rsid w:val="00432896"/>
    <w:rsid w:val="004329E7"/>
    <w:rsid w:val="00432B14"/>
    <w:rsid w:val="00432C60"/>
    <w:rsid w:val="00432C97"/>
    <w:rsid w:val="00432E5A"/>
    <w:rsid w:val="00432EB7"/>
    <w:rsid w:val="00432F18"/>
    <w:rsid w:val="00432F55"/>
    <w:rsid w:val="004330EF"/>
    <w:rsid w:val="004332D7"/>
    <w:rsid w:val="00433376"/>
    <w:rsid w:val="00433462"/>
    <w:rsid w:val="004335D5"/>
    <w:rsid w:val="00433675"/>
    <w:rsid w:val="004338D0"/>
    <w:rsid w:val="004339F1"/>
    <w:rsid w:val="00433B1B"/>
    <w:rsid w:val="00434462"/>
    <w:rsid w:val="004344E5"/>
    <w:rsid w:val="00434F80"/>
    <w:rsid w:val="00435065"/>
    <w:rsid w:val="0043506F"/>
    <w:rsid w:val="00435288"/>
    <w:rsid w:val="0043537D"/>
    <w:rsid w:val="004353AF"/>
    <w:rsid w:val="00435535"/>
    <w:rsid w:val="004356CE"/>
    <w:rsid w:val="0043571A"/>
    <w:rsid w:val="0043575C"/>
    <w:rsid w:val="004358C2"/>
    <w:rsid w:val="00435D18"/>
    <w:rsid w:val="004365F4"/>
    <w:rsid w:val="00436BA6"/>
    <w:rsid w:val="00436CF0"/>
    <w:rsid w:val="00436E1E"/>
    <w:rsid w:val="00436FC4"/>
    <w:rsid w:val="00437140"/>
    <w:rsid w:val="00437899"/>
    <w:rsid w:val="004378A2"/>
    <w:rsid w:val="00437988"/>
    <w:rsid w:val="004379D5"/>
    <w:rsid w:val="00437B87"/>
    <w:rsid w:val="00437E36"/>
    <w:rsid w:val="00437FBA"/>
    <w:rsid w:val="004404A2"/>
    <w:rsid w:val="0044067B"/>
    <w:rsid w:val="0044083E"/>
    <w:rsid w:val="00440A3C"/>
    <w:rsid w:val="00440C12"/>
    <w:rsid w:val="00440C34"/>
    <w:rsid w:val="00440E56"/>
    <w:rsid w:val="00440F78"/>
    <w:rsid w:val="00441256"/>
    <w:rsid w:val="00441356"/>
    <w:rsid w:val="0044154C"/>
    <w:rsid w:val="00441580"/>
    <w:rsid w:val="0044179A"/>
    <w:rsid w:val="0044179E"/>
    <w:rsid w:val="00441957"/>
    <w:rsid w:val="0044196B"/>
    <w:rsid w:val="00441A9C"/>
    <w:rsid w:val="00441C1C"/>
    <w:rsid w:val="00441F6D"/>
    <w:rsid w:val="004422B7"/>
    <w:rsid w:val="00442321"/>
    <w:rsid w:val="00442353"/>
    <w:rsid w:val="00442ACC"/>
    <w:rsid w:val="004434D9"/>
    <w:rsid w:val="00443689"/>
    <w:rsid w:val="00443923"/>
    <w:rsid w:val="00443975"/>
    <w:rsid w:val="004439FE"/>
    <w:rsid w:val="00443D80"/>
    <w:rsid w:val="00443DAD"/>
    <w:rsid w:val="00443E81"/>
    <w:rsid w:val="00443FF2"/>
    <w:rsid w:val="0044409D"/>
    <w:rsid w:val="00444105"/>
    <w:rsid w:val="0044480E"/>
    <w:rsid w:val="00444C5B"/>
    <w:rsid w:val="00445190"/>
    <w:rsid w:val="004451AE"/>
    <w:rsid w:val="0044592D"/>
    <w:rsid w:val="004459A3"/>
    <w:rsid w:val="00445BD6"/>
    <w:rsid w:val="00445F48"/>
    <w:rsid w:val="00445F67"/>
    <w:rsid w:val="00445FB6"/>
    <w:rsid w:val="004463BF"/>
    <w:rsid w:val="0044650F"/>
    <w:rsid w:val="004467E9"/>
    <w:rsid w:val="00446988"/>
    <w:rsid w:val="00446C04"/>
    <w:rsid w:val="00446E9B"/>
    <w:rsid w:val="00447079"/>
    <w:rsid w:val="00447165"/>
    <w:rsid w:val="004474A0"/>
    <w:rsid w:val="0044754C"/>
    <w:rsid w:val="00447976"/>
    <w:rsid w:val="00447AC2"/>
    <w:rsid w:val="004500E3"/>
    <w:rsid w:val="00450139"/>
    <w:rsid w:val="004501E6"/>
    <w:rsid w:val="00450631"/>
    <w:rsid w:val="00450A94"/>
    <w:rsid w:val="00450CF5"/>
    <w:rsid w:val="00450E10"/>
    <w:rsid w:val="00450F87"/>
    <w:rsid w:val="00451598"/>
    <w:rsid w:val="00451E61"/>
    <w:rsid w:val="00451EB2"/>
    <w:rsid w:val="004522CA"/>
    <w:rsid w:val="004523A9"/>
    <w:rsid w:val="00452553"/>
    <w:rsid w:val="0045260C"/>
    <w:rsid w:val="004529DA"/>
    <w:rsid w:val="00452CD8"/>
    <w:rsid w:val="004532F2"/>
    <w:rsid w:val="00453500"/>
    <w:rsid w:val="004535AF"/>
    <w:rsid w:val="0045412B"/>
    <w:rsid w:val="0045442C"/>
    <w:rsid w:val="00454478"/>
    <w:rsid w:val="00454481"/>
    <w:rsid w:val="004546AA"/>
    <w:rsid w:val="0045478B"/>
    <w:rsid w:val="00454A17"/>
    <w:rsid w:val="00454B6B"/>
    <w:rsid w:val="00454C12"/>
    <w:rsid w:val="00454C25"/>
    <w:rsid w:val="00455172"/>
    <w:rsid w:val="004551AA"/>
    <w:rsid w:val="004552F6"/>
    <w:rsid w:val="00455445"/>
    <w:rsid w:val="004554EA"/>
    <w:rsid w:val="00455C72"/>
    <w:rsid w:val="00455D9E"/>
    <w:rsid w:val="00455E28"/>
    <w:rsid w:val="00455ED7"/>
    <w:rsid w:val="004562EB"/>
    <w:rsid w:val="004566D8"/>
    <w:rsid w:val="004566DA"/>
    <w:rsid w:val="00456890"/>
    <w:rsid w:val="00456BFC"/>
    <w:rsid w:val="00456C98"/>
    <w:rsid w:val="00456D32"/>
    <w:rsid w:val="00456F8D"/>
    <w:rsid w:val="00457087"/>
    <w:rsid w:val="0045716C"/>
    <w:rsid w:val="004575AD"/>
    <w:rsid w:val="00457A07"/>
    <w:rsid w:val="00457B8A"/>
    <w:rsid w:val="00457C40"/>
    <w:rsid w:val="00457DAB"/>
    <w:rsid w:val="004601E4"/>
    <w:rsid w:val="00460488"/>
    <w:rsid w:val="00460834"/>
    <w:rsid w:val="00460AF9"/>
    <w:rsid w:val="00461032"/>
    <w:rsid w:val="0046109A"/>
    <w:rsid w:val="00461209"/>
    <w:rsid w:val="0046125F"/>
    <w:rsid w:val="004612F7"/>
    <w:rsid w:val="004615D7"/>
    <w:rsid w:val="00461ADE"/>
    <w:rsid w:val="00461C93"/>
    <w:rsid w:val="00461F1C"/>
    <w:rsid w:val="00461F3F"/>
    <w:rsid w:val="00462AA8"/>
    <w:rsid w:val="004630AC"/>
    <w:rsid w:val="0046311E"/>
    <w:rsid w:val="004631CA"/>
    <w:rsid w:val="00463628"/>
    <w:rsid w:val="004637C6"/>
    <w:rsid w:val="00463806"/>
    <w:rsid w:val="004638D6"/>
    <w:rsid w:val="00463EA2"/>
    <w:rsid w:val="00464244"/>
    <w:rsid w:val="00464477"/>
    <w:rsid w:val="00464D86"/>
    <w:rsid w:val="00465877"/>
    <w:rsid w:val="00465960"/>
    <w:rsid w:val="00465BD4"/>
    <w:rsid w:val="00465C18"/>
    <w:rsid w:val="00465F9D"/>
    <w:rsid w:val="004661BC"/>
    <w:rsid w:val="004661E7"/>
    <w:rsid w:val="0046650F"/>
    <w:rsid w:val="00466CBE"/>
    <w:rsid w:val="00466DDE"/>
    <w:rsid w:val="00466E9F"/>
    <w:rsid w:val="004673FA"/>
    <w:rsid w:val="00467C1E"/>
    <w:rsid w:val="0047017C"/>
    <w:rsid w:val="004705D3"/>
    <w:rsid w:val="00470867"/>
    <w:rsid w:val="00470C2C"/>
    <w:rsid w:val="00470D22"/>
    <w:rsid w:val="00470D4B"/>
    <w:rsid w:val="00470FA1"/>
    <w:rsid w:val="0047128A"/>
    <w:rsid w:val="004713F8"/>
    <w:rsid w:val="004714D4"/>
    <w:rsid w:val="00471792"/>
    <w:rsid w:val="00471A29"/>
    <w:rsid w:val="00471A4C"/>
    <w:rsid w:val="00472045"/>
    <w:rsid w:val="0047285D"/>
    <w:rsid w:val="00472860"/>
    <w:rsid w:val="0047286B"/>
    <w:rsid w:val="004728AF"/>
    <w:rsid w:val="0047291F"/>
    <w:rsid w:val="00472BBB"/>
    <w:rsid w:val="00472C7A"/>
    <w:rsid w:val="00472D52"/>
    <w:rsid w:val="0047301D"/>
    <w:rsid w:val="004730EC"/>
    <w:rsid w:val="004731B0"/>
    <w:rsid w:val="004737BA"/>
    <w:rsid w:val="00473D07"/>
    <w:rsid w:val="00473D9B"/>
    <w:rsid w:val="0047405D"/>
    <w:rsid w:val="004740B4"/>
    <w:rsid w:val="0047424A"/>
    <w:rsid w:val="004742E6"/>
    <w:rsid w:val="00474937"/>
    <w:rsid w:val="00474A1F"/>
    <w:rsid w:val="00474DD2"/>
    <w:rsid w:val="00474F23"/>
    <w:rsid w:val="00474F98"/>
    <w:rsid w:val="00475050"/>
    <w:rsid w:val="00475080"/>
    <w:rsid w:val="004750D8"/>
    <w:rsid w:val="00475124"/>
    <w:rsid w:val="00475250"/>
    <w:rsid w:val="004753B0"/>
    <w:rsid w:val="004753B9"/>
    <w:rsid w:val="0047543D"/>
    <w:rsid w:val="004759D9"/>
    <w:rsid w:val="00475BF0"/>
    <w:rsid w:val="00475D73"/>
    <w:rsid w:val="00476293"/>
    <w:rsid w:val="00476523"/>
    <w:rsid w:val="00476A09"/>
    <w:rsid w:val="00476E0C"/>
    <w:rsid w:val="00477233"/>
    <w:rsid w:val="0047756B"/>
    <w:rsid w:val="004779E4"/>
    <w:rsid w:val="00477CF4"/>
    <w:rsid w:val="00477F4B"/>
    <w:rsid w:val="004801D2"/>
    <w:rsid w:val="0048035F"/>
    <w:rsid w:val="004803EC"/>
    <w:rsid w:val="004804D5"/>
    <w:rsid w:val="00480C03"/>
    <w:rsid w:val="00480D21"/>
    <w:rsid w:val="0048127D"/>
    <w:rsid w:val="004814DE"/>
    <w:rsid w:val="004814E7"/>
    <w:rsid w:val="00481523"/>
    <w:rsid w:val="0048165D"/>
    <w:rsid w:val="004818A5"/>
    <w:rsid w:val="00481960"/>
    <w:rsid w:val="0048197F"/>
    <w:rsid w:val="00481F84"/>
    <w:rsid w:val="00482083"/>
    <w:rsid w:val="0048208B"/>
    <w:rsid w:val="004823D3"/>
    <w:rsid w:val="004824AB"/>
    <w:rsid w:val="00482767"/>
    <w:rsid w:val="004828B1"/>
    <w:rsid w:val="00482B3A"/>
    <w:rsid w:val="00482C8A"/>
    <w:rsid w:val="00483118"/>
    <w:rsid w:val="004838CB"/>
    <w:rsid w:val="00483CFF"/>
    <w:rsid w:val="00484177"/>
    <w:rsid w:val="00484252"/>
    <w:rsid w:val="004847E2"/>
    <w:rsid w:val="00484A6A"/>
    <w:rsid w:val="00484ACB"/>
    <w:rsid w:val="00484B5D"/>
    <w:rsid w:val="00484C38"/>
    <w:rsid w:val="00484DA0"/>
    <w:rsid w:val="00485059"/>
    <w:rsid w:val="00485233"/>
    <w:rsid w:val="004854E4"/>
    <w:rsid w:val="004855E1"/>
    <w:rsid w:val="00485650"/>
    <w:rsid w:val="00486053"/>
    <w:rsid w:val="004868B6"/>
    <w:rsid w:val="004868D7"/>
    <w:rsid w:val="00486BDD"/>
    <w:rsid w:val="00486CE1"/>
    <w:rsid w:val="00486E4D"/>
    <w:rsid w:val="00486EB9"/>
    <w:rsid w:val="004876AE"/>
    <w:rsid w:val="004879B4"/>
    <w:rsid w:val="004879D5"/>
    <w:rsid w:val="00487D92"/>
    <w:rsid w:val="00487F8B"/>
    <w:rsid w:val="00487FCF"/>
    <w:rsid w:val="0049010C"/>
    <w:rsid w:val="00490195"/>
    <w:rsid w:val="0049081A"/>
    <w:rsid w:val="004909F0"/>
    <w:rsid w:val="00490D66"/>
    <w:rsid w:val="00490D86"/>
    <w:rsid w:val="00490DD5"/>
    <w:rsid w:val="00491251"/>
    <w:rsid w:val="00491562"/>
    <w:rsid w:val="0049178B"/>
    <w:rsid w:val="0049196B"/>
    <w:rsid w:val="00491E5C"/>
    <w:rsid w:val="00491E65"/>
    <w:rsid w:val="0049217A"/>
    <w:rsid w:val="004922C2"/>
    <w:rsid w:val="00492672"/>
    <w:rsid w:val="00492B4C"/>
    <w:rsid w:val="00492EAB"/>
    <w:rsid w:val="00492EF5"/>
    <w:rsid w:val="0049305D"/>
    <w:rsid w:val="0049352B"/>
    <w:rsid w:val="00493AA2"/>
    <w:rsid w:val="00493E83"/>
    <w:rsid w:val="00493ED1"/>
    <w:rsid w:val="00493FBB"/>
    <w:rsid w:val="00494136"/>
    <w:rsid w:val="00494149"/>
    <w:rsid w:val="0049422C"/>
    <w:rsid w:val="00494394"/>
    <w:rsid w:val="004943CE"/>
    <w:rsid w:val="0049458B"/>
    <w:rsid w:val="00494990"/>
    <w:rsid w:val="00494D35"/>
    <w:rsid w:val="00494F85"/>
    <w:rsid w:val="00495436"/>
    <w:rsid w:val="004954B9"/>
    <w:rsid w:val="00495BC5"/>
    <w:rsid w:val="00496202"/>
    <w:rsid w:val="0049671D"/>
    <w:rsid w:val="004967B1"/>
    <w:rsid w:val="00497094"/>
    <w:rsid w:val="0049717E"/>
    <w:rsid w:val="0049719C"/>
    <w:rsid w:val="0049728B"/>
    <w:rsid w:val="0049733E"/>
    <w:rsid w:val="0049749F"/>
    <w:rsid w:val="004977F0"/>
    <w:rsid w:val="0049786C"/>
    <w:rsid w:val="00497C98"/>
    <w:rsid w:val="00497E96"/>
    <w:rsid w:val="004A0703"/>
    <w:rsid w:val="004A07A3"/>
    <w:rsid w:val="004A0B36"/>
    <w:rsid w:val="004A0BA6"/>
    <w:rsid w:val="004A0DC3"/>
    <w:rsid w:val="004A0E93"/>
    <w:rsid w:val="004A0EBA"/>
    <w:rsid w:val="004A157F"/>
    <w:rsid w:val="004A1834"/>
    <w:rsid w:val="004A1BBB"/>
    <w:rsid w:val="004A1D42"/>
    <w:rsid w:val="004A2169"/>
    <w:rsid w:val="004A23A6"/>
    <w:rsid w:val="004A2674"/>
    <w:rsid w:val="004A2BB8"/>
    <w:rsid w:val="004A3076"/>
    <w:rsid w:val="004A3163"/>
    <w:rsid w:val="004A3261"/>
    <w:rsid w:val="004A336E"/>
    <w:rsid w:val="004A36EF"/>
    <w:rsid w:val="004A3A0A"/>
    <w:rsid w:val="004A3B62"/>
    <w:rsid w:val="004A3F23"/>
    <w:rsid w:val="004A4095"/>
    <w:rsid w:val="004A411F"/>
    <w:rsid w:val="004A41D2"/>
    <w:rsid w:val="004A421E"/>
    <w:rsid w:val="004A457A"/>
    <w:rsid w:val="004A458D"/>
    <w:rsid w:val="004A45C2"/>
    <w:rsid w:val="004A4686"/>
    <w:rsid w:val="004A4F2D"/>
    <w:rsid w:val="004A52D9"/>
    <w:rsid w:val="004A55D2"/>
    <w:rsid w:val="004A5B7A"/>
    <w:rsid w:val="004A5CFC"/>
    <w:rsid w:val="004A62A3"/>
    <w:rsid w:val="004A632E"/>
    <w:rsid w:val="004A63C2"/>
    <w:rsid w:val="004A6452"/>
    <w:rsid w:val="004A6744"/>
    <w:rsid w:val="004A7122"/>
    <w:rsid w:val="004A7269"/>
    <w:rsid w:val="004A7458"/>
    <w:rsid w:val="004A78A3"/>
    <w:rsid w:val="004A794F"/>
    <w:rsid w:val="004A7A3F"/>
    <w:rsid w:val="004B0150"/>
    <w:rsid w:val="004B0189"/>
    <w:rsid w:val="004B0278"/>
    <w:rsid w:val="004B04E0"/>
    <w:rsid w:val="004B0660"/>
    <w:rsid w:val="004B0BB1"/>
    <w:rsid w:val="004B0C63"/>
    <w:rsid w:val="004B0E66"/>
    <w:rsid w:val="004B1047"/>
    <w:rsid w:val="004B1147"/>
    <w:rsid w:val="004B1171"/>
    <w:rsid w:val="004B133F"/>
    <w:rsid w:val="004B1367"/>
    <w:rsid w:val="004B14E1"/>
    <w:rsid w:val="004B1640"/>
    <w:rsid w:val="004B16DF"/>
    <w:rsid w:val="004B176E"/>
    <w:rsid w:val="004B18E1"/>
    <w:rsid w:val="004B1946"/>
    <w:rsid w:val="004B1C17"/>
    <w:rsid w:val="004B1EAF"/>
    <w:rsid w:val="004B271D"/>
    <w:rsid w:val="004B29F9"/>
    <w:rsid w:val="004B2AA5"/>
    <w:rsid w:val="004B2B3B"/>
    <w:rsid w:val="004B2EF4"/>
    <w:rsid w:val="004B31AF"/>
    <w:rsid w:val="004B31B2"/>
    <w:rsid w:val="004B322E"/>
    <w:rsid w:val="004B32BE"/>
    <w:rsid w:val="004B35EB"/>
    <w:rsid w:val="004B3776"/>
    <w:rsid w:val="004B3B70"/>
    <w:rsid w:val="004B3EEE"/>
    <w:rsid w:val="004B424B"/>
    <w:rsid w:val="004B45C7"/>
    <w:rsid w:val="004B45EF"/>
    <w:rsid w:val="004B4A02"/>
    <w:rsid w:val="004B4BAE"/>
    <w:rsid w:val="004B4E97"/>
    <w:rsid w:val="004B4F31"/>
    <w:rsid w:val="004B503C"/>
    <w:rsid w:val="004B5333"/>
    <w:rsid w:val="004B56F7"/>
    <w:rsid w:val="004B586C"/>
    <w:rsid w:val="004B5F7C"/>
    <w:rsid w:val="004B6006"/>
    <w:rsid w:val="004B68E2"/>
    <w:rsid w:val="004B69D1"/>
    <w:rsid w:val="004B6B46"/>
    <w:rsid w:val="004B6D71"/>
    <w:rsid w:val="004B6DD2"/>
    <w:rsid w:val="004B70B6"/>
    <w:rsid w:val="004B71D1"/>
    <w:rsid w:val="004B7248"/>
    <w:rsid w:val="004B752E"/>
    <w:rsid w:val="004B772B"/>
    <w:rsid w:val="004B7787"/>
    <w:rsid w:val="004B784B"/>
    <w:rsid w:val="004B78C6"/>
    <w:rsid w:val="004B7A7D"/>
    <w:rsid w:val="004B7A8D"/>
    <w:rsid w:val="004B7DE2"/>
    <w:rsid w:val="004B7FD4"/>
    <w:rsid w:val="004C01EF"/>
    <w:rsid w:val="004C0278"/>
    <w:rsid w:val="004C03D4"/>
    <w:rsid w:val="004C0B4C"/>
    <w:rsid w:val="004C0F20"/>
    <w:rsid w:val="004C0FBD"/>
    <w:rsid w:val="004C1428"/>
    <w:rsid w:val="004C1715"/>
    <w:rsid w:val="004C194D"/>
    <w:rsid w:val="004C1C3A"/>
    <w:rsid w:val="004C1D0B"/>
    <w:rsid w:val="004C2206"/>
    <w:rsid w:val="004C26F9"/>
    <w:rsid w:val="004C27C6"/>
    <w:rsid w:val="004C27E5"/>
    <w:rsid w:val="004C2B32"/>
    <w:rsid w:val="004C2C3A"/>
    <w:rsid w:val="004C2DBB"/>
    <w:rsid w:val="004C3046"/>
    <w:rsid w:val="004C3136"/>
    <w:rsid w:val="004C3317"/>
    <w:rsid w:val="004C36DC"/>
    <w:rsid w:val="004C3E75"/>
    <w:rsid w:val="004C3F58"/>
    <w:rsid w:val="004C412C"/>
    <w:rsid w:val="004C4312"/>
    <w:rsid w:val="004C438A"/>
    <w:rsid w:val="004C43AB"/>
    <w:rsid w:val="004C48E9"/>
    <w:rsid w:val="004C4D91"/>
    <w:rsid w:val="004C5042"/>
    <w:rsid w:val="004C52BE"/>
    <w:rsid w:val="004C5889"/>
    <w:rsid w:val="004C5B4F"/>
    <w:rsid w:val="004C5D68"/>
    <w:rsid w:val="004C5EF5"/>
    <w:rsid w:val="004C5EF6"/>
    <w:rsid w:val="004C601E"/>
    <w:rsid w:val="004C61BC"/>
    <w:rsid w:val="004C6280"/>
    <w:rsid w:val="004C6483"/>
    <w:rsid w:val="004C6510"/>
    <w:rsid w:val="004C6567"/>
    <w:rsid w:val="004C67D1"/>
    <w:rsid w:val="004C6A72"/>
    <w:rsid w:val="004C70AB"/>
    <w:rsid w:val="004C7742"/>
    <w:rsid w:val="004C78B0"/>
    <w:rsid w:val="004C7CCB"/>
    <w:rsid w:val="004D0082"/>
    <w:rsid w:val="004D03C1"/>
    <w:rsid w:val="004D0410"/>
    <w:rsid w:val="004D060A"/>
    <w:rsid w:val="004D064D"/>
    <w:rsid w:val="004D079A"/>
    <w:rsid w:val="004D07DF"/>
    <w:rsid w:val="004D0BDA"/>
    <w:rsid w:val="004D0C15"/>
    <w:rsid w:val="004D0D8E"/>
    <w:rsid w:val="004D0EB9"/>
    <w:rsid w:val="004D1401"/>
    <w:rsid w:val="004D16EB"/>
    <w:rsid w:val="004D1731"/>
    <w:rsid w:val="004D17C2"/>
    <w:rsid w:val="004D1A7E"/>
    <w:rsid w:val="004D1B5B"/>
    <w:rsid w:val="004D23EA"/>
    <w:rsid w:val="004D2768"/>
    <w:rsid w:val="004D2CAE"/>
    <w:rsid w:val="004D2DB8"/>
    <w:rsid w:val="004D2FDD"/>
    <w:rsid w:val="004D31CA"/>
    <w:rsid w:val="004D3376"/>
    <w:rsid w:val="004D3588"/>
    <w:rsid w:val="004D36CE"/>
    <w:rsid w:val="004D37DE"/>
    <w:rsid w:val="004D3B8A"/>
    <w:rsid w:val="004D41E9"/>
    <w:rsid w:val="004D467B"/>
    <w:rsid w:val="004D46AA"/>
    <w:rsid w:val="004D4815"/>
    <w:rsid w:val="004D48D2"/>
    <w:rsid w:val="004D4B58"/>
    <w:rsid w:val="004D4D03"/>
    <w:rsid w:val="004D4DA5"/>
    <w:rsid w:val="004D4E04"/>
    <w:rsid w:val="004D50AB"/>
    <w:rsid w:val="004D517E"/>
    <w:rsid w:val="004D5467"/>
    <w:rsid w:val="004D5787"/>
    <w:rsid w:val="004D5BDF"/>
    <w:rsid w:val="004D6190"/>
    <w:rsid w:val="004D61A7"/>
    <w:rsid w:val="004D623A"/>
    <w:rsid w:val="004D63C4"/>
    <w:rsid w:val="004D68AA"/>
    <w:rsid w:val="004D699B"/>
    <w:rsid w:val="004D71D0"/>
    <w:rsid w:val="004D7230"/>
    <w:rsid w:val="004D7372"/>
    <w:rsid w:val="004D74CC"/>
    <w:rsid w:val="004D767A"/>
    <w:rsid w:val="004D7E4D"/>
    <w:rsid w:val="004E05D1"/>
    <w:rsid w:val="004E0B50"/>
    <w:rsid w:val="004E0CB0"/>
    <w:rsid w:val="004E0E45"/>
    <w:rsid w:val="004E0F4B"/>
    <w:rsid w:val="004E11D3"/>
    <w:rsid w:val="004E1992"/>
    <w:rsid w:val="004E1ACC"/>
    <w:rsid w:val="004E1F90"/>
    <w:rsid w:val="004E200E"/>
    <w:rsid w:val="004E2574"/>
    <w:rsid w:val="004E26FB"/>
    <w:rsid w:val="004E272B"/>
    <w:rsid w:val="004E27DC"/>
    <w:rsid w:val="004E2BE4"/>
    <w:rsid w:val="004E2EF9"/>
    <w:rsid w:val="004E30B1"/>
    <w:rsid w:val="004E39C7"/>
    <w:rsid w:val="004E3A8D"/>
    <w:rsid w:val="004E3CD0"/>
    <w:rsid w:val="004E401F"/>
    <w:rsid w:val="004E4099"/>
    <w:rsid w:val="004E40DF"/>
    <w:rsid w:val="004E4328"/>
    <w:rsid w:val="004E471B"/>
    <w:rsid w:val="004E4B88"/>
    <w:rsid w:val="004E4F14"/>
    <w:rsid w:val="004E5281"/>
    <w:rsid w:val="004E52CB"/>
    <w:rsid w:val="004E52E3"/>
    <w:rsid w:val="004E5454"/>
    <w:rsid w:val="004E5585"/>
    <w:rsid w:val="004E5635"/>
    <w:rsid w:val="004E5884"/>
    <w:rsid w:val="004E645F"/>
    <w:rsid w:val="004E6526"/>
    <w:rsid w:val="004E65AC"/>
    <w:rsid w:val="004E67A5"/>
    <w:rsid w:val="004E68AE"/>
    <w:rsid w:val="004E6B38"/>
    <w:rsid w:val="004E6C94"/>
    <w:rsid w:val="004E6D53"/>
    <w:rsid w:val="004E7278"/>
    <w:rsid w:val="004E732F"/>
    <w:rsid w:val="004E757A"/>
    <w:rsid w:val="004E760F"/>
    <w:rsid w:val="004E7719"/>
    <w:rsid w:val="004E77C2"/>
    <w:rsid w:val="004F02A9"/>
    <w:rsid w:val="004F0491"/>
    <w:rsid w:val="004F055F"/>
    <w:rsid w:val="004F07FA"/>
    <w:rsid w:val="004F08C8"/>
    <w:rsid w:val="004F0BB9"/>
    <w:rsid w:val="004F0D84"/>
    <w:rsid w:val="004F0DA3"/>
    <w:rsid w:val="004F12A6"/>
    <w:rsid w:val="004F186C"/>
    <w:rsid w:val="004F193D"/>
    <w:rsid w:val="004F1BC8"/>
    <w:rsid w:val="004F1BFD"/>
    <w:rsid w:val="004F1DC6"/>
    <w:rsid w:val="004F1F23"/>
    <w:rsid w:val="004F21F3"/>
    <w:rsid w:val="004F2329"/>
    <w:rsid w:val="004F252C"/>
    <w:rsid w:val="004F2691"/>
    <w:rsid w:val="004F27BD"/>
    <w:rsid w:val="004F2843"/>
    <w:rsid w:val="004F2893"/>
    <w:rsid w:val="004F2949"/>
    <w:rsid w:val="004F2D55"/>
    <w:rsid w:val="004F2E06"/>
    <w:rsid w:val="004F30BB"/>
    <w:rsid w:val="004F3124"/>
    <w:rsid w:val="004F3843"/>
    <w:rsid w:val="004F3BDE"/>
    <w:rsid w:val="004F43FA"/>
    <w:rsid w:val="004F4736"/>
    <w:rsid w:val="004F4C8F"/>
    <w:rsid w:val="004F4D4D"/>
    <w:rsid w:val="004F4E8D"/>
    <w:rsid w:val="004F5061"/>
    <w:rsid w:val="004F5480"/>
    <w:rsid w:val="004F54C2"/>
    <w:rsid w:val="004F5584"/>
    <w:rsid w:val="004F5630"/>
    <w:rsid w:val="004F582B"/>
    <w:rsid w:val="004F58B3"/>
    <w:rsid w:val="004F5900"/>
    <w:rsid w:val="004F5B9D"/>
    <w:rsid w:val="004F5C1C"/>
    <w:rsid w:val="004F5E17"/>
    <w:rsid w:val="004F5E7D"/>
    <w:rsid w:val="004F6162"/>
    <w:rsid w:val="004F639A"/>
    <w:rsid w:val="004F68E7"/>
    <w:rsid w:val="004F69CA"/>
    <w:rsid w:val="004F6D0C"/>
    <w:rsid w:val="004F6E4C"/>
    <w:rsid w:val="004F723D"/>
    <w:rsid w:val="004F7768"/>
    <w:rsid w:val="004F7865"/>
    <w:rsid w:val="004F791B"/>
    <w:rsid w:val="004F7C23"/>
    <w:rsid w:val="004F7CE3"/>
    <w:rsid w:val="0050014C"/>
    <w:rsid w:val="005003ED"/>
    <w:rsid w:val="0050099B"/>
    <w:rsid w:val="00500AAB"/>
    <w:rsid w:val="00500CB4"/>
    <w:rsid w:val="00500D97"/>
    <w:rsid w:val="00500F17"/>
    <w:rsid w:val="00500FA0"/>
    <w:rsid w:val="00500FEB"/>
    <w:rsid w:val="0050124D"/>
    <w:rsid w:val="00501305"/>
    <w:rsid w:val="005015FF"/>
    <w:rsid w:val="0050167F"/>
    <w:rsid w:val="00501982"/>
    <w:rsid w:val="00501B57"/>
    <w:rsid w:val="00501C76"/>
    <w:rsid w:val="00501D75"/>
    <w:rsid w:val="00501F16"/>
    <w:rsid w:val="00502024"/>
    <w:rsid w:val="00502028"/>
    <w:rsid w:val="00502592"/>
    <w:rsid w:val="005027AC"/>
    <w:rsid w:val="00502E89"/>
    <w:rsid w:val="00502EEB"/>
    <w:rsid w:val="005031F5"/>
    <w:rsid w:val="00503430"/>
    <w:rsid w:val="0050349A"/>
    <w:rsid w:val="00503569"/>
    <w:rsid w:val="00503826"/>
    <w:rsid w:val="005039CD"/>
    <w:rsid w:val="00503AD6"/>
    <w:rsid w:val="0050412B"/>
    <w:rsid w:val="005041C2"/>
    <w:rsid w:val="00504C3A"/>
    <w:rsid w:val="00505086"/>
    <w:rsid w:val="00505A3B"/>
    <w:rsid w:val="00505C40"/>
    <w:rsid w:val="00505D1F"/>
    <w:rsid w:val="00505F1B"/>
    <w:rsid w:val="00506154"/>
    <w:rsid w:val="005067D5"/>
    <w:rsid w:val="00506973"/>
    <w:rsid w:val="00506978"/>
    <w:rsid w:val="00506A96"/>
    <w:rsid w:val="00506C46"/>
    <w:rsid w:val="00506C75"/>
    <w:rsid w:val="00506FB4"/>
    <w:rsid w:val="005072CD"/>
    <w:rsid w:val="0050774C"/>
    <w:rsid w:val="0050776D"/>
    <w:rsid w:val="00507884"/>
    <w:rsid w:val="00507A07"/>
    <w:rsid w:val="00507C3E"/>
    <w:rsid w:val="00510039"/>
    <w:rsid w:val="005103B3"/>
    <w:rsid w:val="0051092C"/>
    <w:rsid w:val="005109C5"/>
    <w:rsid w:val="00510C0C"/>
    <w:rsid w:val="00510E26"/>
    <w:rsid w:val="0051126D"/>
    <w:rsid w:val="005115FE"/>
    <w:rsid w:val="00511642"/>
    <w:rsid w:val="00511675"/>
    <w:rsid w:val="005116C4"/>
    <w:rsid w:val="0051179C"/>
    <w:rsid w:val="00511E92"/>
    <w:rsid w:val="00511EEF"/>
    <w:rsid w:val="00511FDC"/>
    <w:rsid w:val="00512226"/>
    <w:rsid w:val="0051240E"/>
    <w:rsid w:val="0051279F"/>
    <w:rsid w:val="0051281B"/>
    <w:rsid w:val="00512887"/>
    <w:rsid w:val="00512A3B"/>
    <w:rsid w:val="00512D21"/>
    <w:rsid w:val="005131EB"/>
    <w:rsid w:val="005132F0"/>
    <w:rsid w:val="0051330A"/>
    <w:rsid w:val="00513A63"/>
    <w:rsid w:val="00513B61"/>
    <w:rsid w:val="00513C03"/>
    <w:rsid w:val="00513DE0"/>
    <w:rsid w:val="00514145"/>
    <w:rsid w:val="0051429B"/>
    <w:rsid w:val="00514331"/>
    <w:rsid w:val="005144A8"/>
    <w:rsid w:val="00514596"/>
    <w:rsid w:val="005145B7"/>
    <w:rsid w:val="005148FE"/>
    <w:rsid w:val="00514970"/>
    <w:rsid w:val="00514AD8"/>
    <w:rsid w:val="00514BBB"/>
    <w:rsid w:val="00514E3D"/>
    <w:rsid w:val="00514F61"/>
    <w:rsid w:val="00515153"/>
    <w:rsid w:val="0051520D"/>
    <w:rsid w:val="00515625"/>
    <w:rsid w:val="005157B3"/>
    <w:rsid w:val="00515955"/>
    <w:rsid w:val="00515A6E"/>
    <w:rsid w:val="00515ADC"/>
    <w:rsid w:val="00515B4C"/>
    <w:rsid w:val="00515CA7"/>
    <w:rsid w:val="00515D97"/>
    <w:rsid w:val="00515EC8"/>
    <w:rsid w:val="00515F42"/>
    <w:rsid w:val="00516101"/>
    <w:rsid w:val="005163E7"/>
    <w:rsid w:val="00516771"/>
    <w:rsid w:val="00516E7F"/>
    <w:rsid w:val="00516E84"/>
    <w:rsid w:val="0051709A"/>
    <w:rsid w:val="0051787C"/>
    <w:rsid w:val="00517963"/>
    <w:rsid w:val="0052012F"/>
    <w:rsid w:val="0052048F"/>
    <w:rsid w:val="0052059B"/>
    <w:rsid w:val="00520881"/>
    <w:rsid w:val="005208B0"/>
    <w:rsid w:val="00520CDA"/>
    <w:rsid w:val="00520DFF"/>
    <w:rsid w:val="00521408"/>
    <w:rsid w:val="0052141A"/>
    <w:rsid w:val="00521438"/>
    <w:rsid w:val="0052164E"/>
    <w:rsid w:val="00521651"/>
    <w:rsid w:val="00521A39"/>
    <w:rsid w:val="00521BD5"/>
    <w:rsid w:val="00521D45"/>
    <w:rsid w:val="00521F44"/>
    <w:rsid w:val="00522061"/>
    <w:rsid w:val="00522349"/>
    <w:rsid w:val="00522389"/>
    <w:rsid w:val="005227E5"/>
    <w:rsid w:val="005227F9"/>
    <w:rsid w:val="00522AA5"/>
    <w:rsid w:val="00522BD1"/>
    <w:rsid w:val="00523136"/>
    <w:rsid w:val="00523174"/>
    <w:rsid w:val="005231A2"/>
    <w:rsid w:val="005237D0"/>
    <w:rsid w:val="00523F33"/>
    <w:rsid w:val="00524004"/>
    <w:rsid w:val="005240C2"/>
    <w:rsid w:val="00524203"/>
    <w:rsid w:val="005244CC"/>
    <w:rsid w:val="005245A5"/>
    <w:rsid w:val="00524826"/>
    <w:rsid w:val="005249D3"/>
    <w:rsid w:val="00524A71"/>
    <w:rsid w:val="00524D44"/>
    <w:rsid w:val="0052526B"/>
    <w:rsid w:val="00525345"/>
    <w:rsid w:val="00525361"/>
    <w:rsid w:val="00525379"/>
    <w:rsid w:val="00525526"/>
    <w:rsid w:val="00525723"/>
    <w:rsid w:val="00525AF9"/>
    <w:rsid w:val="005260CA"/>
    <w:rsid w:val="0052624E"/>
    <w:rsid w:val="005262B7"/>
    <w:rsid w:val="0052632E"/>
    <w:rsid w:val="005264EE"/>
    <w:rsid w:val="005265D6"/>
    <w:rsid w:val="005268DD"/>
    <w:rsid w:val="00526974"/>
    <w:rsid w:val="00526E48"/>
    <w:rsid w:val="00526FA0"/>
    <w:rsid w:val="005271D0"/>
    <w:rsid w:val="005274AE"/>
    <w:rsid w:val="00527887"/>
    <w:rsid w:val="00527BB8"/>
    <w:rsid w:val="00527DB3"/>
    <w:rsid w:val="00530509"/>
    <w:rsid w:val="00530893"/>
    <w:rsid w:val="00530A00"/>
    <w:rsid w:val="00530D72"/>
    <w:rsid w:val="00530E05"/>
    <w:rsid w:val="00530FBF"/>
    <w:rsid w:val="00531040"/>
    <w:rsid w:val="00531936"/>
    <w:rsid w:val="00531A12"/>
    <w:rsid w:val="00531A16"/>
    <w:rsid w:val="00531F9B"/>
    <w:rsid w:val="00532229"/>
    <w:rsid w:val="00532389"/>
    <w:rsid w:val="00532399"/>
    <w:rsid w:val="005324B9"/>
    <w:rsid w:val="00532506"/>
    <w:rsid w:val="00532673"/>
    <w:rsid w:val="005326DB"/>
    <w:rsid w:val="00532D39"/>
    <w:rsid w:val="005332DB"/>
    <w:rsid w:val="0053392A"/>
    <w:rsid w:val="005339F0"/>
    <w:rsid w:val="00533B52"/>
    <w:rsid w:val="005345E3"/>
    <w:rsid w:val="005345EC"/>
    <w:rsid w:val="00534780"/>
    <w:rsid w:val="00534AFB"/>
    <w:rsid w:val="00534C0E"/>
    <w:rsid w:val="005352F9"/>
    <w:rsid w:val="00535641"/>
    <w:rsid w:val="00535B9E"/>
    <w:rsid w:val="00535D67"/>
    <w:rsid w:val="00535E16"/>
    <w:rsid w:val="00536325"/>
    <w:rsid w:val="0053637C"/>
    <w:rsid w:val="005366C1"/>
    <w:rsid w:val="005367D4"/>
    <w:rsid w:val="005367FB"/>
    <w:rsid w:val="00536A27"/>
    <w:rsid w:val="00536A90"/>
    <w:rsid w:val="00536AD4"/>
    <w:rsid w:val="00536BD6"/>
    <w:rsid w:val="00536EDA"/>
    <w:rsid w:val="0053740A"/>
    <w:rsid w:val="00537595"/>
    <w:rsid w:val="00537BDE"/>
    <w:rsid w:val="00537DC3"/>
    <w:rsid w:val="005400C7"/>
    <w:rsid w:val="005400DB"/>
    <w:rsid w:val="005408FE"/>
    <w:rsid w:val="00540ED0"/>
    <w:rsid w:val="00541ABA"/>
    <w:rsid w:val="0054230F"/>
    <w:rsid w:val="00542963"/>
    <w:rsid w:val="005429DA"/>
    <w:rsid w:val="00542C49"/>
    <w:rsid w:val="005430E1"/>
    <w:rsid w:val="00543254"/>
    <w:rsid w:val="0054354A"/>
    <w:rsid w:val="0054355E"/>
    <w:rsid w:val="0054357F"/>
    <w:rsid w:val="0054360E"/>
    <w:rsid w:val="00543666"/>
    <w:rsid w:val="0054386D"/>
    <w:rsid w:val="00543D15"/>
    <w:rsid w:val="00544042"/>
    <w:rsid w:val="00544427"/>
    <w:rsid w:val="0054511C"/>
    <w:rsid w:val="0054511F"/>
    <w:rsid w:val="00545142"/>
    <w:rsid w:val="0054551F"/>
    <w:rsid w:val="00545ABD"/>
    <w:rsid w:val="00545C52"/>
    <w:rsid w:val="00545C55"/>
    <w:rsid w:val="00545FEC"/>
    <w:rsid w:val="00546038"/>
    <w:rsid w:val="00546157"/>
    <w:rsid w:val="005461F1"/>
    <w:rsid w:val="0054637D"/>
    <w:rsid w:val="0054644D"/>
    <w:rsid w:val="005469AC"/>
    <w:rsid w:val="00546ABD"/>
    <w:rsid w:val="00546B3A"/>
    <w:rsid w:val="00546E8D"/>
    <w:rsid w:val="00547045"/>
    <w:rsid w:val="005470A2"/>
    <w:rsid w:val="00547159"/>
    <w:rsid w:val="00547515"/>
    <w:rsid w:val="005476EF"/>
    <w:rsid w:val="005478CC"/>
    <w:rsid w:val="0054791E"/>
    <w:rsid w:val="00547BBA"/>
    <w:rsid w:val="00547F44"/>
    <w:rsid w:val="005502F8"/>
    <w:rsid w:val="00550408"/>
    <w:rsid w:val="005504A0"/>
    <w:rsid w:val="005505D4"/>
    <w:rsid w:val="0055068E"/>
    <w:rsid w:val="00550C25"/>
    <w:rsid w:val="005510F2"/>
    <w:rsid w:val="005511A7"/>
    <w:rsid w:val="005516E2"/>
    <w:rsid w:val="00551A44"/>
    <w:rsid w:val="00551A92"/>
    <w:rsid w:val="00551C79"/>
    <w:rsid w:val="00551FD3"/>
    <w:rsid w:val="005527A5"/>
    <w:rsid w:val="00552909"/>
    <w:rsid w:val="00552949"/>
    <w:rsid w:val="00552BC7"/>
    <w:rsid w:val="00552DA9"/>
    <w:rsid w:val="00552E2D"/>
    <w:rsid w:val="00553265"/>
    <w:rsid w:val="005532C9"/>
    <w:rsid w:val="005533E7"/>
    <w:rsid w:val="0055340F"/>
    <w:rsid w:val="0055356A"/>
    <w:rsid w:val="0055374C"/>
    <w:rsid w:val="00553784"/>
    <w:rsid w:val="005537B5"/>
    <w:rsid w:val="00553C74"/>
    <w:rsid w:val="00554BE0"/>
    <w:rsid w:val="00554CD1"/>
    <w:rsid w:val="00554EBF"/>
    <w:rsid w:val="00554EEA"/>
    <w:rsid w:val="00555146"/>
    <w:rsid w:val="00555194"/>
    <w:rsid w:val="005552E5"/>
    <w:rsid w:val="005555E7"/>
    <w:rsid w:val="0055569D"/>
    <w:rsid w:val="00555AFB"/>
    <w:rsid w:val="00555B0E"/>
    <w:rsid w:val="00555C55"/>
    <w:rsid w:val="00555F1C"/>
    <w:rsid w:val="005562A3"/>
    <w:rsid w:val="005563E0"/>
    <w:rsid w:val="00556586"/>
    <w:rsid w:val="00556708"/>
    <w:rsid w:val="0055673D"/>
    <w:rsid w:val="0055686C"/>
    <w:rsid w:val="0055689B"/>
    <w:rsid w:val="00556BD2"/>
    <w:rsid w:val="00556BE0"/>
    <w:rsid w:val="00557070"/>
    <w:rsid w:val="00557269"/>
    <w:rsid w:val="005573F7"/>
    <w:rsid w:val="00557535"/>
    <w:rsid w:val="00557913"/>
    <w:rsid w:val="00557949"/>
    <w:rsid w:val="00557C6B"/>
    <w:rsid w:val="00557D21"/>
    <w:rsid w:val="00560068"/>
    <w:rsid w:val="00560079"/>
    <w:rsid w:val="00560299"/>
    <w:rsid w:val="005603DF"/>
    <w:rsid w:val="005604FD"/>
    <w:rsid w:val="005605C0"/>
    <w:rsid w:val="0056079D"/>
    <w:rsid w:val="00560BB9"/>
    <w:rsid w:val="00560C19"/>
    <w:rsid w:val="00560E9D"/>
    <w:rsid w:val="005610BB"/>
    <w:rsid w:val="00561111"/>
    <w:rsid w:val="0056136B"/>
    <w:rsid w:val="00561442"/>
    <w:rsid w:val="005614C6"/>
    <w:rsid w:val="00561C9A"/>
    <w:rsid w:val="00561D0B"/>
    <w:rsid w:val="00561EBF"/>
    <w:rsid w:val="00561F1F"/>
    <w:rsid w:val="00562006"/>
    <w:rsid w:val="005622AF"/>
    <w:rsid w:val="00562543"/>
    <w:rsid w:val="00562991"/>
    <w:rsid w:val="00562ADD"/>
    <w:rsid w:val="00562D6A"/>
    <w:rsid w:val="00562FB8"/>
    <w:rsid w:val="00563163"/>
    <w:rsid w:val="00563945"/>
    <w:rsid w:val="00563AD9"/>
    <w:rsid w:val="00564426"/>
    <w:rsid w:val="00564871"/>
    <w:rsid w:val="0056493E"/>
    <w:rsid w:val="00565069"/>
    <w:rsid w:val="00565229"/>
    <w:rsid w:val="005653C4"/>
    <w:rsid w:val="00565414"/>
    <w:rsid w:val="00565436"/>
    <w:rsid w:val="00565487"/>
    <w:rsid w:val="005658B8"/>
    <w:rsid w:val="00565B1D"/>
    <w:rsid w:val="00565D71"/>
    <w:rsid w:val="00565F68"/>
    <w:rsid w:val="005661B4"/>
    <w:rsid w:val="005662F7"/>
    <w:rsid w:val="00566338"/>
    <w:rsid w:val="00566ACF"/>
    <w:rsid w:val="00566BC8"/>
    <w:rsid w:val="005676E8"/>
    <w:rsid w:val="00567883"/>
    <w:rsid w:val="00567898"/>
    <w:rsid w:val="005678C9"/>
    <w:rsid w:val="00567A74"/>
    <w:rsid w:val="00567AB8"/>
    <w:rsid w:val="00567CAA"/>
    <w:rsid w:val="00567D28"/>
    <w:rsid w:val="00567D69"/>
    <w:rsid w:val="00567DAE"/>
    <w:rsid w:val="00567E85"/>
    <w:rsid w:val="00570290"/>
    <w:rsid w:val="005703B7"/>
    <w:rsid w:val="005709D9"/>
    <w:rsid w:val="00570A46"/>
    <w:rsid w:val="00570A77"/>
    <w:rsid w:val="00571228"/>
    <w:rsid w:val="00571254"/>
    <w:rsid w:val="005712E0"/>
    <w:rsid w:val="005714A3"/>
    <w:rsid w:val="00571A0E"/>
    <w:rsid w:val="00571AE6"/>
    <w:rsid w:val="00571B64"/>
    <w:rsid w:val="00571BF7"/>
    <w:rsid w:val="00571C2E"/>
    <w:rsid w:val="00571D37"/>
    <w:rsid w:val="00571D7D"/>
    <w:rsid w:val="00571E4A"/>
    <w:rsid w:val="0057220F"/>
    <w:rsid w:val="0057278E"/>
    <w:rsid w:val="00572D04"/>
    <w:rsid w:val="0057306F"/>
    <w:rsid w:val="00573072"/>
    <w:rsid w:val="00573A09"/>
    <w:rsid w:val="00574145"/>
    <w:rsid w:val="005741F9"/>
    <w:rsid w:val="00574305"/>
    <w:rsid w:val="00574770"/>
    <w:rsid w:val="00574DE6"/>
    <w:rsid w:val="00575098"/>
    <w:rsid w:val="005750AF"/>
    <w:rsid w:val="00575107"/>
    <w:rsid w:val="0057566B"/>
    <w:rsid w:val="005758CE"/>
    <w:rsid w:val="00575901"/>
    <w:rsid w:val="00575B93"/>
    <w:rsid w:val="0057635C"/>
    <w:rsid w:val="005763E3"/>
    <w:rsid w:val="00576414"/>
    <w:rsid w:val="00576728"/>
    <w:rsid w:val="00576B19"/>
    <w:rsid w:val="00576B9A"/>
    <w:rsid w:val="00576BC3"/>
    <w:rsid w:val="0057713A"/>
    <w:rsid w:val="00577236"/>
    <w:rsid w:val="0057732B"/>
    <w:rsid w:val="0057737C"/>
    <w:rsid w:val="005773B9"/>
    <w:rsid w:val="00577599"/>
    <w:rsid w:val="005778C2"/>
    <w:rsid w:val="00577A45"/>
    <w:rsid w:val="00577F05"/>
    <w:rsid w:val="00577F7D"/>
    <w:rsid w:val="00580115"/>
    <w:rsid w:val="00580149"/>
    <w:rsid w:val="0058027D"/>
    <w:rsid w:val="0058028D"/>
    <w:rsid w:val="00580423"/>
    <w:rsid w:val="0058058A"/>
    <w:rsid w:val="00580FC7"/>
    <w:rsid w:val="00581085"/>
    <w:rsid w:val="00581350"/>
    <w:rsid w:val="0058152C"/>
    <w:rsid w:val="0058153F"/>
    <w:rsid w:val="00581ADA"/>
    <w:rsid w:val="00581BE3"/>
    <w:rsid w:val="00581D0E"/>
    <w:rsid w:val="00581D22"/>
    <w:rsid w:val="00581D2A"/>
    <w:rsid w:val="00581D69"/>
    <w:rsid w:val="00581ECF"/>
    <w:rsid w:val="005824A2"/>
    <w:rsid w:val="005824EB"/>
    <w:rsid w:val="0058251C"/>
    <w:rsid w:val="00582643"/>
    <w:rsid w:val="0058272C"/>
    <w:rsid w:val="005827B7"/>
    <w:rsid w:val="0058288E"/>
    <w:rsid w:val="00582BE2"/>
    <w:rsid w:val="00582F67"/>
    <w:rsid w:val="005830A3"/>
    <w:rsid w:val="00583180"/>
    <w:rsid w:val="00583496"/>
    <w:rsid w:val="00583579"/>
    <w:rsid w:val="005837B2"/>
    <w:rsid w:val="00583A1C"/>
    <w:rsid w:val="00583CF7"/>
    <w:rsid w:val="00583FCF"/>
    <w:rsid w:val="00584145"/>
    <w:rsid w:val="0058461F"/>
    <w:rsid w:val="0058497E"/>
    <w:rsid w:val="00584A43"/>
    <w:rsid w:val="00584B72"/>
    <w:rsid w:val="00584DF5"/>
    <w:rsid w:val="00584E36"/>
    <w:rsid w:val="0058504C"/>
    <w:rsid w:val="00585101"/>
    <w:rsid w:val="00585749"/>
    <w:rsid w:val="00585E67"/>
    <w:rsid w:val="00586037"/>
    <w:rsid w:val="0058607D"/>
    <w:rsid w:val="0058678B"/>
    <w:rsid w:val="005869D8"/>
    <w:rsid w:val="00586A76"/>
    <w:rsid w:val="00586D6B"/>
    <w:rsid w:val="005871D8"/>
    <w:rsid w:val="00587254"/>
    <w:rsid w:val="00587798"/>
    <w:rsid w:val="005879D8"/>
    <w:rsid w:val="00587A21"/>
    <w:rsid w:val="00587A89"/>
    <w:rsid w:val="00587B71"/>
    <w:rsid w:val="00587EB5"/>
    <w:rsid w:val="005900ED"/>
    <w:rsid w:val="005903E5"/>
    <w:rsid w:val="0059046D"/>
    <w:rsid w:val="00590659"/>
    <w:rsid w:val="005906D0"/>
    <w:rsid w:val="005909D0"/>
    <w:rsid w:val="00590BE4"/>
    <w:rsid w:val="00590C80"/>
    <w:rsid w:val="00590D47"/>
    <w:rsid w:val="00590DD9"/>
    <w:rsid w:val="00590FE1"/>
    <w:rsid w:val="005915B7"/>
    <w:rsid w:val="005916E7"/>
    <w:rsid w:val="00591DAE"/>
    <w:rsid w:val="00592067"/>
    <w:rsid w:val="00592C84"/>
    <w:rsid w:val="00592CEB"/>
    <w:rsid w:val="00592D26"/>
    <w:rsid w:val="00592D4A"/>
    <w:rsid w:val="00592E30"/>
    <w:rsid w:val="00592F4F"/>
    <w:rsid w:val="005936EC"/>
    <w:rsid w:val="0059389A"/>
    <w:rsid w:val="00593931"/>
    <w:rsid w:val="00593CB9"/>
    <w:rsid w:val="00593FF4"/>
    <w:rsid w:val="00594358"/>
    <w:rsid w:val="00594516"/>
    <w:rsid w:val="005947F1"/>
    <w:rsid w:val="00594E60"/>
    <w:rsid w:val="0059559A"/>
    <w:rsid w:val="00595B72"/>
    <w:rsid w:val="00596048"/>
    <w:rsid w:val="005961BC"/>
    <w:rsid w:val="00596302"/>
    <w:rsid w:val="00596602"/>
    <w:rsid w:val="00596840"/>
    <w:rsid w:val="00596E3C"/>
    <w:rsid w:val="00596F2D"/>
    <w:rsid w:val="00597A1E"/>
    <w:rsid w:val="00597AE2"/>
    <w:rsid w:val="00597B45"/>
    <w:rsid w:val="005A02E5"/>
    <w:rsid w:val="005A0491"/>
    <w:rsid w:val="005A04D3"/>
    <w:rsid w:val="005A064A"/>
    <w:rsid w:val="005A0734"/>
    <w:rsid w:val="005A07EE"/>
    <w:rsid w:val="005A0C51"/>
    <w:rsid w:val="005A0D81"/>
    <w:rsid w:val="005A0F8B"/>
    <w:rsid w:val="005A1084"/>
    <w:rsid w:val="005A1838"/>
    <w:rsid w:val="005A1876"/>
    <w:rsid w:val="005A1CD4"/>
    <w:rsid w:val="005A1E22"/>
    <w:rsid w:val="005A237D"/>
    <w:rsid w:val="005A24E7"/>
    <w:rsid w:val="005A27BB"/>
    <w:rsid w:val="005A31B5"/>
    <w:rsid w:val="005A31CA"/>
    <w:rsid w:val="005A348E"/>
    <w:rsid w:val="005A34F9"/>
    <w:rsid w:val="005A3523"/>
    <w:rsid w:val="005A3583"/>
    <w:rsid w:val="005A375B"/>
    <w:rsid w:val="005A3C6F"/>
    <w:rsid w:val="005A3C73"/>
    <w:rsid w:val="005A3E35"/>
    <w:rsid w:val="005A45AE"/>
    <w:rsid w:val="005A4E02"/>
    <w:rsid w:val="005A527F"/>
    <w:rsid w:val="005A55A4"/>
    <w:rsid w:val="005A5A94"/>
    <w:rsid w:val="005A5B82"/>
    <w:rsid w:val="005A5FB1"/>
    <w:rsid w:val="005A639D"/>
    <w:rsid w:val="005A63E0"/>
    <w:rsid w:val="005A6586"/>
    <w:rsid w:val="005A65E5"/>
    <w:rsid w:val="005A681B"/>
    <w:rsid w:val="005A732E"/>
    <w:rsid w:val="005A739F"/>
    <w:rsid w:val="005A7459"/>
    <w:rsid w:val="005A7C37"/>
    <w:rsid w:val="005A7DC6"/>
    <w:rsid w:val="005A7DCF"/>
    <w:rsid w:val="005A7E63"/>
    <w:rsid w:val="005B04E6"/>
    <w:rsid w:val="005B0BEC"/>
    <w:rsid w:val="005B125D"/>
    <w:rsid w:val="005B1275"/>
    <w:rsid w:val="005B1347"/>
    <w:rsid w:val="005B1966"/>
    <w:rsid w:val="005B21F9"/>
    <w:rsid w:val="005B2388"/>
    <w:rsid w:val="005B23FE"/>
    <w:rsid w:val="005B25B9"/>
    <w:rsid w:val="005B25F8"/>
    <w:rsid w:val="005B2683"/>
    <w:rsid w:val="005B2756"/>
    <w:rsid w:val="005B313D"/>
    <w:rsid w:val="005B32CE"/>
    <w:rsid w:val="005B34BD"/>
    <w:rsid w:val="005B34FF"/>
    <w:rsid w:val="005B36A8"/>
    <w:rsid w:val="005B39C0"/>
    <w:rsid w:val="005B3B62"/>
    <w:rsid w:val="005B3EE8"/>
    <w:rsid w:val="005B405E"/>
    <w:rsid w:val="005B4167"/>
    <w:rsid w:val="005B4529"/>
    <w:rsid w:val="005B4703"/>
    <w:rsid w:val="005B4ADB"/>
    <w:rsid w:val="005B4D8A"/>
    <w:rsid w:val="005B4F12"/>
    <w:rsid w:val="005B50E9"/>
    <w:rsid w:val="005B51C0"/>
    <w:rsid w:val="005B52AA"/>
    <w:rsid w:val="005B5665"/>
    <w:rsid w:val="005B5783"/>
    <w:rsid w:val="005B57E2"/>
    <w:rsid w:val="005B598E"/>
    <w:rsid w:val="005B5A98"/>
    <w:rsid w:val="005B5BE0"/>
    <w:rsid w:val="005B617E"/>
    <w:rsid w:val="005B626A"/>
    <w:rsid w:val="005B64C8"/>
    <w:rsid w:val="005B6588"/>
    <w:rsid w:val="005B68A4"/>
    <w:rsid w:val="005B6C41"/>
    <w:rsid w:val="005B6DCD"/>
    <w:rsid w:val="005B7189"/>
    <w:rsid w:val="005B7300"/>
    <w:rsid w:val="005B73CA"/>
    <w:rsid w:val="005B76B6"/>
    <w:rsid w:val="005B79A1"/>
    <w:rsid w:val="005B7FDB"/>
    <w:rsid w:val="005C016C"/>
    <w:rsid w:val="005C03E5"/>
    <w:rsid w:val="005C06A6"/>
    <w:rsid w:val="005C0868"/>
    <w:rsid w:val="005C0A89"/>
    <w:rsid w:val="005C0A95"/>
    <w:rsid w:val="005C0FDE"/>
    <w:rsid w:val="005C11AD"/>
    <w:rsid w:val="005C122A"/>
    <w:rsid w:val="005C125E"/>
    <w:rsid w:val="005C148F"/>
    <w:rsid w:val="005C155F"/>
    <w:rsid w:val="005C19AD"/>
    <w:rsid w:val="005C213A"/>
    <w:rsid w:val="005C262D"/>
    <w:rsid w:val="005C2672"/>
    <w:rsid w:val="005C2B2B"/>
    <w:rsid w:val="005C2B3A"/>
    <w:rsid w:val="005C2B75"/>
    <w:rsid w:val="005C2BD9"/>
    <w:rsid w:val="005C2BF5"/>
    <w:rsid w:val="005C2C9A"/>
    <w:rsid w:val="005C2FF2"/>
    <w:rsid w:val="005C300B"/>
    <w:rsid w:val="005C3021"/>
    <w:rsid w:val="005C34A1"/>
    <w:rsid w:val="005C3E90"/>
    <w:rsid w:val="005C3F7F"/>
    <w:rsid w:val="005C4075"/>
    <w:rsid w:val="005C4503"/>
    <w:rsid w:val="005C4583"/>
    <w:rsid w:val="005C46F9"/>
    <w:rsid w:val="005C48EC"/>
    <w:rsid w:val="005C4952"/>
    <w:rsid w:val="005C4A50"/>
    <w:rsid w:val="005C4AF6"/>
    <w:rsid w:val="005C511A"/>
    <w:rsid w:val="005C5767"/>
    <w:rsid w:val="005C579F"/>
    <w:rsid w:val="005C5809"/>
    <w:rsid w:val="005C59A5"/>
    <w:rsid w:val="005C5A06"/>
    <w:rsid w:val="005C5BC5"/>
    <w:rsid w:val="005C5EF0"/>
    <w:rsid w:val="005C6743"/>
    <w:rsid w:val="005C7578"/>
    <w:rsid w:val="005C765C"/>
    <w:rsid w:val="005C7709"/>
    <w:rsid w:val="005C773B"/>
    <w:rsid w:val="005C78FA"/>
    <w:rsid w:val="005C79B1"/>
    <w:rsid w:val="005C7B55"/>
    <w:rsid w:val="005C7C89"/>
    <w:rsid w:val="005C7D93"/>
    <w:rsid w:val="005C7E49"/>
    <w:rsid w:val="005C7ED9"/>
    <w:rsid w:val="005C7EEE"/>
    <w:rsid w:val="005D0316"/>
    <w:rsid w:val="005D09C8"/>
    <w:rsid w:val="005D104E"/>
    <w:rsid w:val="005D111B"/>
    <w:rsid w:val="005D1357"/>
    <w:rsid w:val="005D1510"/>
    <w:rsid w:val="005D157C"/>
    <w:rsid w:val="005D163A"/>
    <w:rsid w:val="005D16AD"/>
    <w:rsid w:val="005D197E"/>
    <w:rsid w:val="005D19D3"/>
    <w:rsid w:val="005D1B0E"/>
    <w:rsid w:val="005D1B1C"/>
    <w:rsid w:val="005D1E78"/>
    <w:rsid w:val="005D2332"/>
    <w:rsid w:val="005D24E6"/>
    <w:rsid w:val="005D2A8F"/>
    <w:rsid w:val="005D2CEE"/>
    <w:rsid w:val="005D2EB6"/>
    <w:rsid w:val="005D362B"/>
    <w:rsid w:val="005D37D9"/>
    <w:rsid w:val="005D39D5"/>
    <w:rsid w:val="005D3B43"/>
    <w:rsid w:val="005D3BB9"/>
    <w:rsid w:val="005D421F"/>
    <w:rsid w:val="005D437D"/>
    <w:rsid w:val="005D4423"/>
    <w:rsid w:val="005D49E3"/>
    <w:rsid w:val="005D4C5C"/>
    <w:rsid w:val="005D4CF1"/>
    <w:rsid w:val="005D4D55"/>
    <w:rsid w:val="005D51F4"/>
    <w:rsid w:val="005D53A6"/>
    <w:rsid w:val="005D544F"/>
    <w:rsid w:val="005D5778"/>
    <w:rsid w:val="005D5866"/>
    <w:rsid w:val="005D58E2"/>
    <w:rsid w:val="005D5E5D"/>
    <w:rsid w:val="005D5FD7"/>
    <w:rsid w:val="005D60B6"/>
    <w:rsid w:val="005D6303"/>
    <w:rsid w:val="005D657D"/>
    <w:rsid w:val="005D66E8"/>
    <w:rsid w:val="005D676A"/>
    <w:rsid w:val="005D69BB"/>
    <w:rsid w:val="005D6A45"/>
    <w:rsid w:val="005D6AAD"/>
    <w:rsid w:val="005D6B9F"/>
    <w:rsid w:val="005D6DAB"/>
    <w:rsid w:val="005D7432"/>
    <w:rsid w:val="005D74D9"/>
    <w:rsid w:val="005D7EF0"/>
    <w:rsid w:val="005E050B"/>
    <w:rsid w:val="005E0D2E"/>
    <w:rsid w:val="005E0E3A"/>
    <w:rsid w:val="005E15E3"/>
    <w:rsid w:val="005E1882"/>
    <w:rsid w:val="005E1CEA"/>
    <w:rsid w:val="005E2695"/>
    <w:rsid w:val="005E2955"/>
    <w:rsid w:val="005E2B51"/>
    <w:rsid w:val="005E2E8B"/>
    <w:rsid w:val="005E312E"/>
    <w:rsid w:val="005E321D"/>
    <w:rsid w:val="005E33EB"/>
    <w:rsid w:val="005E3711"/>
    <w:rsid w:val="005E37D4"/>
    <w:rsid w:val="005E3A67"/>
    <w:rsid w:val="005E3A91"/>
    <w:rsid w:val="005E3C8B"/>
    <w:rsid w:val="005E4317"/>
    <w:rsid w:val="005E43F3"/>
    <w:rsid w:val="005E451D"/>
    <w:rsid w:val="005E4E49"/>
    <w:rsid w:val="005E4EB2"/>
    <w:rsid w:val="005E4FDD"/>
    <w:rsid w:val="005E547D"/>
    <w:rsid w:val="005E551F"/>
    <w:rsid w:val="005E5725"/>
    <w:rsid w:val="005E5864"/>
    <w:rsid w:val="005E58E7"/>
    <w:rsid w:val="005E5B19"/>
    <w:rsid w:val="005E618C"/>
    <w:rsid w:val="005E62F8"/>
    <w:rsid w:val="005E639E"/>
    <w:rsid w:val="005E6B3E"/>
    <w:rsid w:val="005E6BC6"/>
    <w:rsid w:val="005E6E19"/>
    <w:rsid w:val="005E6ED6"/>
    <w:rsid w:val="005E6F05"/>
    <w:rsid w:val="005E709E"/>
    <w:rsid w:val="005E761A"/>
    <w:rsid w:val="005E7A21"/>
    <w:rsid w:val="005F0039"/>
    <w:rsid w:val="005F0191"/>
    <w:rsid w:val="005F01D5"/>
    <w:rsid w:val="005F037D"/>
    <w:rsid w:val="005F06F1"/>
    <w:rsid w:val="005F0EE2"/>
    <w:rsid w:val="005F108F"/>
    <w:rsid w:val="005F1290"/>
    <w:rsid w:val="005F12F9"/>
    <w:rsid w:val="005F137A"/>
    <w:rsid w:val="005F146B"/>
    <w:rsid w:val="005F1721"/>
    <w:rsid w:val="005F1A96"/>
    <w:rsid w:val="005F1BDC"/>
    <w:rsid w:val="005F1E60"/>
    <w:rsid w:val="005F1FA4"/>
    <w:rsid w:val="005F20B7"/>
    <w:rsid w:val="005F227B"/>
    <w:rsid w:val="005F287C"/>
    <w:rsid w:val="005F28CD"/>
    <w:rsid w:val="005F2904"/>
    <w:rsid w:val="005F2986"/>
    <w:rsid w:val="005F2A98"/>
    <w:rsid w:val="005F2B12"/>
    <w:rsid w:val="005F2C5C"/>
    <w:rsid w:val="005F3162"/>
    <w:rsid w:val="005F34E1"/>
    <w:rsid w:val="005F3650"/>
    <w:rsid w:val="005F3845"/>
    <w:rsid w:val="005F3847"/>
    <w:rsid w:val="005F3D2D"/>
    <w:rsid w:val="005F3FC1"/>
    <w:rsid w:val="005F4125"/>
    <w:rsid w:val="005F42A2"/>
    <w:rsid w:val="005F444D"/>
    <w:rsid w:val="005F44CC"/>
    <w:rsid w:val="005F472C"/>
    <w:rsid w:val="005F484F"/>
    <w:rsid w:val="005F4AEA"/>
    <w:rsid w:val="005F4CCA"/>
    <w:rsid w:val="005F4E22"/>
    <w:rsid w:val="005F5014"/>
    <w:rsid w:val="005F520F"/>
    <w:rsid w:val="005F538B"/>
    <w:rsid w:val="005F54A6"/>
    <w:rsid w:val="005F5901"/>
    <w:rsid w:val="005F60BE"/>
    <w:rsid w:val="005F61E2"/>
    <w:rsid w:val="005F6472"/>
    <w:rsid w:val="005F65F9"/>
    <w:rsid w:val="005F660F"/>
    <w:rsid w:val="005F6F0B"/>
    <w:rsid w:val="005F7476"/>
    <w:rsid w:val="005F78CF"/>
    <w:rsid w:val="005F7B03"/>
    <w:rsid w:val="005F7BEF"/>
    <w:rsid w:val="005F7F20"/>
    <w:rsid w:val="00600280"/>
    <w:rsid w:val="006002C6"/>
    <w:rsid w:val="00600682"/>
    <w:rsid w:val="00600715"/>
    <w:rsid w:val="006008A8"/>
    <w:rsid w:val="00600917"/>
    <w:rsid w:val="00600EBF"/>
    <w:rsid w:val="00601293"/>
    <w:rsid w:val="0060137C"/>
    <w:rsid w:val="006013D5"/>
    <w:rsid w:val="006014C8"/>
    <w:rsid w:val="0060179E"/>
    <w:rsid w:val="00601949"/>
    <w:rsid w:val="00601A2C"/>
    <w:rsid w:val="00601AC6"/>
    <w:rsid w:val="00601DED"/>
    <w:rsid w:val="00602022"/>
    <w:rsid w:val="006023A1"/>
    <w:rsid w:val="00602930"/>
    <w:rsid w:val="00602A87"/>
    <w:rsid w:val="00602DCC"/>
    <w:rsid w:val="00602DEA"/>
    <w:rsid w:val="00602FB4"/>
    <w:rsid w:val="0060306B"/>
    <w:rsid w:val="00603146"/>
    <w:rsid w:val="0060331B"/>
    <w:rsid w:val="0060370B"/>
    <w:rsid w:val="00603779"/>
    <w:rsid w:val="006038E6"/>
    <w:rsid w:val="00603983"/>
    <w:rsid w:val="00603AE4"/>
    <w:rsid w:val="00603AFF"/>
    <w:rsid w:val="00603F0E"/>
    <w:rsid w:val="00603FD3"/>
    <w:rsid w:val="00604073"/>
    <w:rsid w:val="00604118"/>
    <w:rsid w:val="00604591"/>
    <w:rsid w:val="006046D7"/>
    <w:rsid w:val="006054EE"/>
    <w:rsid w:val="006060A9"/>
    <w:rsid w:val="00606368"/>
    <w:rsid w:val="0060642C"/>
    <w:rsid w:val="006064F1"/>
    <w:rsid w:val="00606657"/>
    <w:rsid w:val="006067C7"/>
    <w:rsid w:val="0060689B"/>
    <w:rsid w:val="006068C7"/>
    <w:rsid w:val="006069AF"/>
    <w:rsid w:val="00606E1A"/>
    <w:rsid w:val="00606E59"/>
    <w:rsid w:val="00606ED3"/>
    <w:rsid w:val="00607023"/>
    <w:rsid w:val="00607625"/>
    <w:rsid w:val="00607874"/>
    <w:rsid w:val="00607A38"/>
    <w:rsid w:val="00607B41"/>
    <w:rsid w:val="00607D13"/>
    <w:rsid w:val="00610310"/>
    <w:rsid w:val="00610848"/>
    <w:rsid w:val="00610A11"/>
    <w:rsid w:val="00610A47"/>
    <w:rsid w:val="00610C1E"/>
    <w:rsid w:val="00611059"/>
    <w:rsid w:val="0061117A"/>
    <w:rsid w:val="0061117B"/>
    <w:rsid w:val="00611222"/>
    <w:rsid w:val="006112C8"/>
    <w:rsid w:val="00611465"/>
    <w:rsid w:val="006116AC"/>
    <w:rsid w:val="006117BD"/>
    <w:rsid w:val="006117E8"/>
    <w:rsid w:val="0061198B"/>
    <w:rsid w:val="00611A3D"/>
    <w:rsid w:val="00611BB9"/>
    <w:rsid w:val="0061216C"/>
    <w:rsid w:val="00612420"/>
    <w:rsid w:val="00612509"/>
    <w:rsid w:val="00612973"/>
    <w:rsid w:val="00612C09"/>
    <w:rsid w:val="00612DEB"/>
    <w:rsid w:val="0061339B"/>
    <w:rsid w:val="006135FE"/>
    <w:rsid w:val="006136A6"/>
    <w:rsid w:val="006138FA"/>
    <w:rsid w:val="00613938"/>
    <w:rsid w:val="00613C58"/>
    <w:rsid w:val="00613D07"/>
    <w:rsid w:val="00614360"/>
    <w:rsid w:val="00614F9C"/>
    <w:rsid w:val="0061558F"/>
    <w:rsid w:val="0061561C"/>
    <w:rsid w:val="00615D22"/>
    <w:rsid w:val="006169FA"/>
    <w:rsid w:val="00616B6A"/>
    <w:rsid w:val="00616E1C"/>
    <w:rsid w:val="006171A9"/>
    <w:rsid w:val="006172C4"/>
    <w:rsid w:val="0061745D"/>
    <w:rsid w:val="006175E7"/>
    <w:rsid w:val="006176EE"/>
    <w:rsid w:val="00617844"/>
    <w:rsid w:val="006178D8"/>
    <w:rsid w:val="00617F8E"/>
    <w:rsid w:val="00620016"/>
    <w:rsid w:val="00620186"/>
    <w:rsid w:val="006201D5"/>
    <w:rsid w:val="00620867"/>
    <w:rsid w:val="00620B1D"/>
    <w:rsid w:val="00620F7B"/>
    <w:rsid w:val="00621217"/>
    <w:rsid w:val="00621853"/>
    <w:rsid w:val="00621856"/>
    <w:rsid w:val="006218B3"/>
    <w:rsid w:val="006218DF"/>
    <w:rsid w:val="006218E6"/>
    <w:rsid w:val="00621B60"/>
    <w:rsid w:val="00621BA3"/>
    <w:rsid w:val="00622037"/>
    <w:rsid w:val="0062251F"/>
    <w:rsid w:val="00622746"/>
    <w:rsid w:val="00622B76"/>
    <w:rsid w:val="00622BBD"/>
    <w:rsid w:val="00622D18"/>
    <w:rsid w:val="00622E6E"/>
    <w:rsid w:val="0062300E"/>
    <w:rsid w:val="00623109"/>
    <w:rsid w:val="006231C2"/>
    <w:rsid w:val="0062323C"/>
    <w:rsid w:val="006232FA"/>
    <w:rsid w:val="0062357D"/>
    <w:rsid w:val="00623595"/>
    <w:rsid w:val="00623C02"/>
    <w:rsid w:val="00623E68"/>
    <w:rsid w:val="006242CF"/>
    <w:rsid w:val="0062451B"/>
    <w:rsid w:val="0062459C"/>
    <w:rsid w:val="00624700"/>
    <w:rsid w:val="00624DD2"/>
    <w:rsid w:val="0062513F"/>
    <w:rsid w:val="006252AB"/>
    <w:rsid w:val="0062578C"/>
    <w:rsid w:val="00625AA5"/>
    <w:rsid w:val="00625B0D"/>
    <w:rsid w:val="00625B9D"/>
    <w:rsid w:val="00625D4A"/>
    <w:rsid w:val="00625E02"/>
    <w:rsid w:val="00626084"/>
    <w:rsid w:val="0062612B"/>
    <w:rsid w:val="006261C3"/>
    <w:rsid w:val="00626B62"/>
    <w:rsid w:val="00626C6B"/>
    <w:rsid w:val="00626EA9"/>
    <w:rsid w:val="00626F8F"/>
    <w:rsid w:val="00627015"/>
    <w:rsid w:val="00627161"/>
    <w:rsid w:val="00627389"/>
    <w:rsid w:val="0062747D"/>
    <w:rsid w:val="00627548"/>
    <w:rsid w:val="00627A36"/>
    <w:rsid w:val="00627D8D"/>
    <w:rsid w:val="00627FC1"/>
    <w:rsid w:val="0063001F"/>
    <w:rsid w:val="0063015E"/>
    <w:rsid w:val="0063023D"/>
    <w:rsid w:val="0063025A"/>
    <w:rsid w:val="0063067F"/>
    <w:rsid w:val="00630A6C"/>
    <w:rsid w:val="00630C0E"/>
    <w:rsid w:val="00630ECA"/>
    <w:rsid w:val="006312C1"/>
    <w:rsid w:val="00631565"/>
    <w:rsid w:val="0063163C"/>
    <w:rsid w:val="0063186D"/>
    <w:rsid w:val="00631A28"/>
    <w:rsid w:val="00631C66"/>
    <w:rsid w:val="00631CCA"/>
    <w:rsid w:val="00631CE6"/>
    <w:rsid w:val="00631FB7"/>
    <w:rsid w:val="00632AE8"/>
    <w:rsid w:val="006330A3"/>
    <w:rsid w:val="00633365"/>
    <w:rsid w:val="00633537"/>
    <w:rsid w:val="00633678"/>
    <w:rsid w:val="006338EC"/>
    <w:rsid w:val="00633962"/>
    <w:rsid w:val="00633CC5"/>
    <w:rsid w:val="00633D12"/>
    <w:rsid w:val="0063403D"/>
    <w:rsid w:val="006341DC"/>
    <w:rsid w:val="00634422"/>
    <w:rsid w:val="0063458D"/>
    <w:rsid w:val="006349F6"/>
    <w:rsid w:val="00634B4F"/>
    <w:rsid w:val="00634C8F"/>
    <w:rsid w:val="00634D47"/>
    <w:rsid w:val="00634D48"/>
    <w:rsid w:val="00634F35"/>
    <w:rsid w:val="006350CE"/>
    <w:rsid w:val="00635450"/>
    <w:rsid w:val="00635A80"/>
    <w:rsid w:val="00635F04"/>
    <w:rsid w:val="00636755"/>
    <w:rsid w:val="00636949"/>
    <w:rsid w:val="00636979"/>
    <w:rsid w:val="00636B3C"/>
    <w:rsid w:val="00636C68"/>
    <w:rsid w:val="006370CB"/>
    <w:rsid w:val="006371AD"/>
    <w:rsid w:val="006371BC"/>
    <w:rsid w:val="00637A0D"/>
    <w:rsid w:val="00637A61"/>
    <w:rsid w:val="00637B86"/>
    <w:rsid w:val="00637C3D"/>
    <w:rsid w:val="00637CBD"/>
    <w:rsid w:val="00637DC8"/>
    <w:rsid w:val="0064008E"/>
    <w:rsid w:val="006402B9"/>
    <w:rsid w:val="0064036E"/>
    <w:rsid w:val="0064056C"/>
    <w:rsid w:val="00640C4D"/>
    <w:rsid w:val="00640C9D"/>
    <w:rsid w:val="00640F3C"/>
    <w:rsid w:val="00641695"/>
    <w:rsid w:val="00641B49"/>
    <w:rsid w:val="00641B5C"/>
    <w:rsid w:val="00641DD8"/>
    <w:rsid w:val="00641EEA"/>
    <w:rsid w:val="00642258"/>
    <w:rsid w:val="006422BF"/>
    <w:rsid w:val="006424DC"/>
    <w:rsid w:val="00642574"/>
    <w:rsid w:val="006427EC"/>
    <w:rsid w:val="00642A11"/>
    <w:rsid w:val="00642E82"/>
    <w:rsid w:val="0064313A"/>
    <w:rsid w:val="0064313B"/>
    <w:rsid w:val="006432BC"/>
    <w:rsid w:val="0064377B"/>
    <w:rsid w:val="00643B22"/>
    <w:rsid w:val="00643E51"/>
    <w:rsid w:val="00644599"/>
    <w:rsid w:val="006446C6"/>
    <w:rsid w:val="006447AD"/>
    <w:rsid w:val="006448C6"/>
    <w:rsid w:val="00644B81"/>
    <w:rsid w:val="00644F64"/>
    <w:rsid w:val="0064542B"/>
    <w:rsid w:val="0064570A"/>
    <w:rsid w:val="00645961"/>
    <w:rsid w:val="00645E94"/>
    <w:rsid w:val="00646443"/>
    <w:rsid w:val="0064659C"/>
    <w:rsid w:val="006465AD"/>
    <w:rsid w:val="0064681C"/>
    <w:rsid w:val="00646839"/>
    <w:rsid w:val="00646998"/>
    <w:rsid w:val="006469B8"/>
    <w:rsid w:val="00646E79"/>
    <w:rsid w:val="006470D3"/>
    <w:rsid w:val="006470FA"/>
    <w:rsid w:val="0064725A"/>
    <w:rsid w:val="00647309"/>
    <w:rsid w:val="00647455"/>
    <w:rsid w:val="006476B2"/>
    <w:rsid w:val="00647725"/>
    <w:rsid w:val="00647936"/>
    <w:rsid w:val="00647968"/>
    <w:rsid w:val="006479ED"/>
    <w:rsid w:val="00650456"/>
    <w:rsid w:val="0065051E"/>
    <w:rsid w:val="00650795"/>
    <w:rsid w:val="00650C22"/>
    <w:rsid w:val="00651201"/>
    <w:rsid w:val="0065143D"/>
    <w:rsid w:val="0065186E"/>
    <w:rsid w:val="00651913"/>
    <w:rsid w:val="00651B9D"/>
    <w:rsid w:val="00651D96"/>
    <w:rsid w:val="00651F86"/>
    <w:rsid w:val="00651FF2"/>
    <w:rsid w:val="00652307"/>
    <w:rsid w:val="00652361"/>
    <w:rsid w:val="0065280C"/>
    <w:rsid w:val="00652973"/>
    <w:rsid w:val="00652986"/>
    <w:rsid w:val="006529DF"/>
    <w:rsid w:val="00652BB6"/>
    <w:rsid w:val="00652BC3"/>
    <w:rsid w:val="00652F5D"/>
    <w:rsid w:val="006530FA"/>
    <w:rsid w:val="00653181"/>
    <w:rsid w:val="006532F5"/>
    <w:rsid w:val="00653416"/>
    <w:rsid w:val="006534F2"/>
    <w:rsid w:val="00653928"/>
    <w:rsid w:val="0065397C"/>
    <w:rsid w:val="00654033"/>
    <w:rsid w:val="00654286"/>
    <w:rsid w:val="0065453C"/>
    <w:rsid w:val="006547CD"/>
    <w:rsid w:val="00654A7D"/>
    <w:rsid w:val="00654D80"/>
    <w:rsid w:val="0065511F"/>
    <w:rsid w:val="0065537D"/>
    <w:rsid w:val="006557D0"/>
    <w:rsid w:val="00655A27"/>
    <w:rsid w:val="00655AA0"/>
    <w:rsid w:val="006561A3"/>
    <w:rsid w:val="006562F9"/>
    <w:rsid w:val="006568E2"/>
    <w:rsid w:val="006569EA"/>
    <w:rsid w:val="00656A9A"/>
    <w:rsid w:val="00656C69"/>
    <w:rsid w:val="00656CEE"/>
    <w:rsid w:val="00656CF5"/>
    <w:rsid w:val="00656EC0"/>
    <w:rsid w:val="006573DC"/>
    <w:rsid w:val="00657434"/>
    <w:rsid w:val="006576B2"/>
    <w:rsid w:val="00657D43"/>
    <w:rsid w:val="006604EA"/>
    <w:rsid w:val="00660626"/>
    <w:rsid w:val="00660651"/>
    <w:rsid w:val="0066071D"/>
    <w:rsid w:val="006608A7"/>
    <w:rsid w:val="00660B6F"/>
    <w:rsid w:val="00660E59"/>
    <w:rsid w:val="00660EA0"/>
    <w:rsid w:val="00661119"/>
    <w:rsid w:val="0066122C"/>
    <w:rsid w:val="00661450"/>
    <w:rsid w:val="0066153F"/>
    <w:rsid w:val="00661541"/>
    <w:rsid w:val="006616C7"/>
    <w:rsid w:val="00661B2F"/>
    <w:rsid w:val="00661B5B"/>
    <w:rsid w:val="0066202B"/>
    <w:rsid w:val="00662366"/>
    <w:rsid w:val="006623DB"/>
    <w:rsid w:val="006629AC"/>
    <w:rsid w:val="00662A6D"/>
    <w:rsid w:val="00662D97"/>
    <w:rsid w:val="00663011"/>
    <w:rsid w:val="00663012"/>
    <w:rsid w:val="0066343D"/>
    <w:rsid w:val="0066354D"/>
    <w:rsid w:val="00663674"/>
    <w:rsid w:val="006639EC"/>
    <w:rsid w:val="00663A92"/>
    <w:rsid w:val="00663AC0"/>
    <w:rsid w:val="00663B97"/>
    <w:rsid w:val="00663D5D"/>
    <w:rsid w:val="00664502"/>
    <w:rsid w:val="00664799"/>
    <w:rsid w:val="006647C1"/>
    <w:rsid w:val="00664C29"/>
    <w:rsid w:val="00665261"/>
    <w:rsid w:val="006652F1"/>
    <w:rsid w:val="00665846"/>
    <w:rsid w:val="00665EAE"/>
    <w:rsid w:val="00665F9D"/>
    <w:rsid w:val="00665FC0"/>
    <w:rsid w:val="006661A9"/>
    <w:rsid w:val="00666501"/>
    <w:rsid w:val="00666512"/>
    <w:rsid w:val="006665C1"/>
    <w:rsid w:val="00666BE5"/>
    <w:rsid w:val="0066707B"/>
    <w:rsid w:val="006671A2"/>
    <w:rsid w:val="00667721"/>
    <w:rsid w:val="006677E2"/>
    <w:rsid w:val="00667D84"/>
    <w:rsid w:val="006700B6"/>
    <w:rsid w:val="006702E4"/>
    <w:rsid w:val="006706CF"/>
    <w:rsid w:val="00670D9F"/>
    <w:rsid w:val="00670DD9"/>
    <w:rsid w:val="00670E9B"/>
    <w:rsid w:val="00670EFF"/>
    <w:rsid w:val="00670FD2"/>
    <w:rsid w:val="00671243"/>
    <w:rsid w:val="00671314"/>
    <w:rsid w:val="00671753"/>
    <w:rsid w:val="006718CB"/>
    <w:rsid w:val="006718CD"/>
    <w:rsid w:val="00671FBB"/>
    <w:rsid w:val="00672287"/>
    <w:rsid w:val="00672327"/>
    <w:rsid w:val="0067239B"/>
    <w:rsid w:val="006723ED"/>
    <w:rsid w:val="0067245C"/>
    <w:rsid w:val="00672495"/>
    <w:rsid w:val="00672B50"/>
    <w:rsid w:val="00672C70"/>
    <w:rsid w:val="00672CF9"/>
    <w:rsid w:val="00673079"/>
    <w:rsid w:val="006733B2"/>
    <w:rsid w:val="00673758"/>
    <w:rsid w:val="00673780"/>
    <w:rsid w:val="00673BA8"/>
    <w:rsid w:val="00673DD9"/>
    <w:rsid w:val="006742FD"/>
    <w:rsid w:val="00674376"/>
    <w:rsid w:val="0067437D"/>
    <w:rsid w:val="006745A1"/>
    <w:rsid w:val="006745E8"/>
    <w:rsid w:val="00674B6B"/>
    <w:rsid w:val="00674CF2"/>
    <w:rsid w:val="00674D07"/>
    <w:rsid w:val="00674E1B"/>
    <w:rsid w:val="00675113"/>
    <w:rsid w:val="006752F0"/>
    <w:rsid w:val="0067539F"/>
    <w:rsid w:val="00675540"/>
    <w:rsid w:val="00675886"/>
    <w:rsid w:val="00675C25"/>
    <w:rsid w:val="00675C5C"/>
    <w:rsid w:val="00675C70"/>
    <w:rsid w:val="00676008"/>
    <w:rsid w:val="006761F2"/>
    <w:rsid w:val="006762DB"/>
    <w:rsid w:val="0067630C"/>
    <w:rsid w:val="00676559"/>
    <w:rsid w:val="00676959"/>
    <w:rsid w:val="00677146"/>
    <w:rsid w:val="0067727C"/>
    <w:rsid w:val="00677314"/>
    <w:rsid w:val="0067748B"/>
    <w:rsid w:val="0067782F"/>
    <w:rsid w:val="006778E3"/>
    <w:rsid w:val="006779AD"/>
    <w:rsid w:val="006779F1"/>
    <w:rsid w:val="00677A52"/>
    <w:rsid w:val="00677BCF"/>
    <w:rsid w:val="00677DFB"/>
    <w:rsid w:val="00680477"/>
    <w:rsid w:val="00680496"/>
    <w:rsid w:val="006804DA"/>
    <w:rsid w:val="006804DD"/>
    <w:rsid w:val="0068072B"/>
    <w:rsid w:val="00680790"/>
    <w:rsid w:val="006807E8"/>
    <w:rsid w:val="0068098B"/>
    <w:rsid w:val="00680DAF"/>
    <w:rsid w:val="0068103F"/>
    <w:rsid w:val="0068145B"/>
    <w:rsid w:val="00681735"/>
    <w:rsid w:val="006817AE"/>
    <w:rsid w:val="00681D51"/>
    <w:rsid w:val="006824A3"/>
    <w:rsid w:val="006825D8"/>
    <w:rsid w:val="006827A8"/>
    <w:rsid w:val="00682C13"/>
    <w:rsid w:val="00682DC6"/>
    <w:rsid w:val="006830B6"/>
    <w:rsid w:val="006831D7"/>
    <w:rsid w:val="006833E8"/>
    <w:rsid w:val="00683681"/>
    <w:rsid w:val="0068383B"/>
    <w:rsid w:val="00683D2D"/>
    <w:rsid w:val="00683D9D"/>
    <w:rsid w:val="00683EF0"/>
    <w:rsid w:val="006840C9"/>
    <w:rsid w:val="00684573"/>
    <w:rsid w:val="006845E4"/>
    <w:rsid w:val="00684F11"/>
    <w:rsid w:val="0068501E"/>
    <w:rsid w:val="00685613"/>
    <w:rsid w:val="00685A3C"/>
    <w:rsid w:val="00685A6E"/>
    <w:rsid w:val="00685B30"/>
    <w:rsid w:val="00685E4B"/>
    <w:rsid w:val="0068607B"/>
    <w:rsid w:val="00686188"/>
    <w:rsid w:val="00686489"/>
    <w:rsid w:val="00686548"/>
    <w:rsid w:val="0068659A"/>
    <w:rsid w:val="00686721"/>
    <w:rsid w:val="0068677E"/>
    <w:rsid w:val="00687402"/>
    <w:rsid w:val="00687758"/>
    <w:rsid w:val="006877C3"/>
    <w:rsid w:val="006879AF"/>
    <w:rsid w:val="00687A1B"/>
    <w:rsid w:val="00687A88"/>
    <w:rsid w:val="00687C25"/>
    <w:rsid w:val="00690334"/>
    <w:rsid w:val="006904D6"/>
    <w:rsid w:val="00690562"/>
    <w:rsid w:val="00690898"/>
    <w:rsid w:val="006908B0"/>
    <w:rsid w:val="006908C7"/>
    <w:rsid w:val="00690A16"/>
    <w:rsid w:val="00691407"/>
    <w:rsid w:val="006914F4"/>
    <w:rsid w:val="0069174D"/>
    <w:rsid w:val="006919E4"/>
    <w:rsid w:val="0069207A"/>
    <w:rsid w:val="006920AD"/>
    <w:rsid w:val="00692254"/>
    <w:rsid w:val="006925EA"/>
    <w:rsid w:val="00692CAD"/>
    <w:rsid w:val="00693070"/>
    <w:rsid w:val="006932D7"/>
    <w:rsid w:val="00693344"/>
    <w:rsid w:val="00693690"/>
    <w:rsid w:val="006939BB"/>
    <w:rsid w:val="00693AA0"/>
    <w:rsid w:val="00693E04"/>
    <w:rsid w:val="00693EC9"/>
    <w:rsid w:val="0069412F"/>
    <w:rsid w:val="00694302"/>
    <w:rsid w:val="0069441D"/>
    <w:rsid w:val="006944AE"/>
    <w:rsid w:val="00695412"/>
    <w:rsid w:val="00695476"/>
    <w:rsid w:val="006959BB"/>
    <w:rsid w:val="00695A4A"/>
    <w:rsid w:val="00695AC5"/>
    <w:rsid w:val="00695B51"/>
    <w:rsid w:val="00695E73"/>
    <w:rsid w:val="006960BD"/>
    <w:rsid w:val="0069642D"/>
    <w:rsid w:val="006965AF"/>
    <w:rsid w:val="0069669B"/>
    <w:rsid w:val="0069681C"/>
    <w:rsid w:val="00696DCD"/>
    <w:rsid w:val="0069772B"/>
    <w:rsid w:val="0069778C"/>
    <w:rsid w:val="0069778F"/>
    <w:rsid w:val="006977F0"/>
    <w:rsid w:val="00697CB3"/>
    <w:rsid w:val="00697F16"/>
    <w:rsid w:val="006A0579"/>
    <w:rsid w:val="006A07B2"/>
    <w:rsid w:val="006A07F4"/>
    <w:rsid w:val="006A084A"/>
    <w:rsid w:val="006A0CEF"/>
    <w:rsid w:val="006A101C"/>
    <w:rsid w:val="006A164A"/>
    <w:rsid w:val="006A1BD3"/>
    <w:rsid w:val="006A1C7B"/>
    <w:rsid w:val="006A1C89"/>
    <w:rsid w:val="006A23AA"/>
    <w:rsid w:val="006A2500"/>
    <w:rsid w:val="006A285E"/>
    <w:rsid w:val="006A2C44"/>
    <w:rsid w:val="006A2D6E"/>
    <w:rsid w:val="006A2E75"/>
    <w:rsid w:val="006A2F6C"/>
    <w:rsid w:val="006A30A5"/>
    <w:rsid w:val="006A319D"/>
    <w:rsid w:val="006A33D5"/>
    <w:rsid w:val="006A3537"/>
    <w:rsid w:val="006A35A1"/>
    <w:rsid w:val="006A3695"/>
    <w:rsid w:val="006A3877"/>
    <w:rsid w:val="006A3AD8"/>
    <w:rsid w:val="006A3C1D"/>
    <w:rsid w:val="006A3C55"/>
    <w:rsid w:val="006A3C9C"/>
    <w:rsid w:val="006A3E63"/>
    <w:rsid w:val="006A3F32"/>
    <w:rsid w:val="006A46A7"/>
    <w:rsid w:val="006A4721"/>
    <w:rsid w:val="006A5031"/>
    <w:rsid w:val="006A56C0"/>
    <w:rsid w:val="006A5E9D"/>
    <w:rsid w:val="006A6211"/>
    <w:rsid w:val="006A623B"/>
    <w:rsid w:val="006A65CA"/>
    <w:rsid w:val="006A6FBD"/>
    <w:rsid w:val="006A7299"/>
    <w:rsid w:val="006A771E"/>
    <w:rsid w:val="006A7975"/>
    <w:rsid w:val="006A7A46"/>
    <w:rsid w:val="006A7C49"/>
    <w:rsid w:val="006B01BA"/>
    <w:rsid w:val="006B0B62"/>
    <w:rsid w:val="006B0F65"/>
    <w:rsid w:val="006B0F88"/>
    <w:rsid w:val="006B1306"/>
    <w:rsid w:val="006B183D"/>
    <w:rsid w:val="006B1C60"/>
    <w:rsid w:val="006B1FCA"/>
    <w:rsid w:val="006B23F1"/>
    <w:rsid w:val="006B252A"/>
    <w:rsid w:val="006B2561"/>
    <w:rsid w:val="006B26F2"/>
    <w:rsid w:val="006B2F33"/>
    <w:rsid w:val="006B3480"/>
    <w:rsid w:val="006B3569"/>
    <w:rsid w:val="006B3642"/>
    <w:rsid w:val="006B3B28"/>
    <w:rsid w:val="006B3BE5"/>
    <w:rsid w:val="006B3CB3"/>
    <w:rsid w:val="006B3FEA"/>
    <w:rsid w:val="006B40F1"/>
    <w:rsid w:val="006B4116"/>
    <w:rsid w:val="006B413E"/>
    <w:rsid w:val="006B4240"/>
    <w:rsid w:val="006B425A"/>
    <w:rsid w:val="006B48E5"/>
    <w:rsid w:val="006B49C8"/>
    <w:rsid w:val="006B4B9D"/>
    <w:rsid w:val="006B4E57"/>
    <w:rsid w:val="006B4EDE"/>
    <w:rsid w:val="006B4FC0"/>
    <w:rsid w:val="006B5076"/>
    <w:rsid w:val="006B535B"/>
    <w:rsid w:val="006B59B8"/>
    <w:rsid w:val="006B59C8"/>
    <w:rsid w:val="006B5A2D"/>
    <w:rsid w:val="006B5B4A"/>
    <w:rsid w:val="006B5FC2"/>
    <w:rsid w:val="006B6190"/>
    <w:rsid w:val="006B6261"/>
    <w:rsid w:val="006B6898"/>
    <w:rsid w:val="006B6A94"/>
    <w:rsid w:val="006B6C0F"/>
    <w:rsid w:val="006B6CE9"/>
    <w:rsid w:val="006B6F16"/>
    <w:rsid w:val="006B712F"/>
    <w:rsid w:val="006B7161"/>
    <w:rsid w:val="006B7351"/>
    <w:rsid w:val="006B7485"/>
    <w:rsid w:val="006B749D"/>
    <w:rsid w:val="006B755D"/>
    <w:rsid w:val="006B7817"/>
    <w:rsid w:val="006B7821"/>
    <w:rsid w:val="006B792E"/>
    <w:rsid w:val="006B793D"/>
    <w:rsid w:val="006B79DC"/>
    <w:rsid w:val="006B7AE8"/>
    <w:rsid w:val="006B7F19"/>
    <w:rsid w:val="006C0495"/>
    <w:rsid w:val="006C04E9"/>
    <w:rsid w:val="006C06A7"/>
    <w:rsid w:val="006C0B12"/>
    <w:rsid w:val="006C0B83"/>
    <w:rsid w:val="006C0DF2"/>
    <w:rsid w:val="006C0EAE"/>
    <w:rsid w:val="006C1120"/>
    <w:rsid w:val="006C1505"/>
    <w:rsid w:val="006C17DB"/>
    <w:rsid w:val="006C19EB"/>
    <w:rsid w:val="006C1AA4"/>
    <w:rsid w:val="006C1ACF"/>
    <w:rsid w:val="006C1D15"/>
    <w:rsid w:val="006C1F0A"/>
    <w:rsid w:val="006C2498"/>
    <w:rsid w:val="006C2639"/>
    <w:rsid w:val="006C267A"/>
    <w:rsid w:val="006C286B"/>
    <w:rsid w:val="006C294C"/>
    <w:rsid w:val="006C2CBE"/>
    <w:rsid w:val="006C2DD7"/>
    <w:rsid w:val="006C33CE"/>
    <w:rsid w:val="006C36DC"/>
    <w:rsid w:val="006C3908"/>
    <w:rsid w:val="006C3A61"/>
    <w:rsid w:val="006C3BC1"/>
    <w:rsid w:val="006C3C73"/>
    <w:rsid w:val="006C3D6C"/>
    <w:rsid w:val="006C4171"/>
    <w:rsid w:val="006C447D"/>
    <w:rsid w:val="006C4600"/>
    <w:rsid w:val="006C4637"/>
    <w:rsid w:val="006C4C52"/>
    <w:rsid w:val="006C4E92"/>
    <w:rsid w:val="006C5056"/>
    <w:rsid w:val="006C50AD"/>
    <w:rsid w:val="006C520B"/>
    <w:rsid w:val="006C5A5E"/>
    <w:rsid w:val="006C5ABA"/>
    <w:rsid w:val="006C5FA1"/>
    <w:rsid w:val="006C61B3"/>
    <w:rsid w:val="006C61FE"/>
    <w:rsid w:val="006C644F"/>
    <w:rsid w:val="006C64B2"/>
    <w:rsid w:val="006C66D7"/>
    <w:rsid w:val="006C6927"/>
    <w:rsid w:val="006C6B08"/>
    <w:rsid w:val="006C6E7B"/>
    <w:rsid w:val="006C6F11"/>
    <w:rsid w:val="006C72F8"/>
    <w:rsid w:val="006C748F"/>
    <w:rsid w:val="006C77BA"/>
    <w:rsid w:val="006C77EA"/>
    <w:rsid w:val="006C792D"/>
    <w:rsid w:val="006C7DC9"/>
    <w:rsid w:val="006D006E"/>
    <w:rsid w:val="006D023E"/>
    <w:rsid w:val="006D026B"/>
    <w:rsid w:val="006D0310"/>
    <w:rsid w:val="006D0351"/>
    <w:rsid w:val="006D06E4"/>
    <w:rsid w:val="006D15F7"/>
    <w:rsid w:val="006D169E"/>
    <w:rsid w:val="006D17B1"/>
    <w:rsid w:val="006D1A9F"/>
    <w:rsid w:val="006D1F31"/>
    <w:rsid w:val="006D2118"/>
    <w:rsid w:val="006D252A"/>
    <w:rsid w:val="006D26FD"/>
    <w:rsid w:val="006D2731"/>
    <w:rsid w:val="006D27D3"/>
    <w:rsid w:val="006D29A4"/>
    <w:rsid w:val="006D32A2"/>
    <w:rsid w:val="006D383F"/>
    <w:rsid w:val="006D3B0E"/>
    <w:rsid w:val="006D3E01"/>
    <w:rsid w:val="006D3F3A"/>
    <w:rsid w:val="006D401A"/>
    <w:rsid w:val="006D4221"/>
    <w:rsid w:val="006D4224"/>
    <w:rsid w:val="006D4482"/>
    <w:rsid w:val="006D4A54"/>
    <w:rsid w:val="006D4D0F"/>
    <w:rsid w:val="006D4DF5"/>
    <w:rsid w:val="006D50D3"/>
    <w:rsid w:val="006D5169"/>
    <w:rsid w:val="006D52AA"/>
    <w:rsid w:val="006D538C"/>
    <w:rsid w:val="006D568B"/>
    <w:rsid w:val="006D5774"/>
    <w:rsid w:val="006D5828"/>
    <w:rsid w:val="006D5DA9"/>
    <w:rsid w:val="006D60AA"/>
    <w:rsid w:val="006D60B1"/>
    <w:rsid w:val="006D6711"/>
    <w:rsid w:val="006D6C05"/>
    <w:rsid w:val="006D6C7D"/>
    <w:rsid w:val="006D701C"/>
    <w:rsid w:val="006D70A8"/>
    <w:rsid w:val="006D719C"/>
    <w:rsid w:val="006D731D"/>
    <w:rsid w:val="006D7915"/>
    <w:rsid w:val="006D7977"/>
    <w:rsid w:val="006D79E0"/>
    <w:rsid w:val="006D7C38"/>
    <w:rsid w:val="006D7D9C"/>
    <w:rsid w:val="006D7FA0"/>
    <w:rsid w:val="006E0132"/>
    <w:rsid w:val="006E02FF"/>
    <w:rsid w:val="006E05F3"/>
    <w:rsid w:val="006E0F5F"/>
    <w:rsid w:val="006E1027"/>
    <w:rsid w:val="006E110D"/>
    <w:rsid w:val="006E1610"/>
    <w:rsid w:val="006E16B7"/>
    <w:rsid w:val="006E171C"/>
    <w:rsid w:val="006E1A27"/>
    <w:rsid w:val="006E1A97"/>
    <w:rsid w:val="006E1C7D"/>
    <w:rsid w:val="006E1D18"/>
    <w:rsid w:val="006E21E8"/>
    <w:rsid w:val="006E259B"/>
    <w:rsid w:val="006E274A"/>
    <w:rsid w:val="006E294F"/>
    <w:rsid w:val="006E2963"/>
    <w:rsid w:val="006E2A43"/>
    <w:rsid w:val="006E2CF7"/>
    <w:rsid w:val="006E2D5B"/>
    <w:rsid w:val="006E2D9B"/>
    <w:rsid w:val="006E2E62"/>
    <w:rsid w:val="006E3232"/>
    <w:rsid w:val="006E3804"/>
    <w:rsid w:val="006E39D2"/>
    <w:rsid w:val="006E3CDA"/>
    <w:rsid w:val="006E3F14"/>
    <w:rsid w:val="006E48E6"/>
    <w:rsid w:val="006E4A0C"/>
    <w:rsid w:val="006E4CA3"/>
    <w:rsid w:val="006E4D7A"/>
    <w:rsid w:val="006E4D7C"/>
    <w:rsid w:val="006E4E8C"/>
    <w:rsid w:val="006E4FA5"/>
    <w:rsid w:val="006E4FCD"/>
    <w:rsid w:val="006E5004"/>
    <w:rsid w:val="006E54B8"/>
    <w:rsid w:val="006E5FE4"/>
    <w:rsid w:val="006E652F"/>
    <w:rsid w:val="006E65D7"/>
    <w:rsid w:val="006E6742"/>
    <w:rsid w:val="006E68F4"/>
    <w:rsid w:val="006E6CBF"/>
    <w:rsid w:val="006E7178"/>
    <w:rsid w:val="006E71BB"/>
    <w:rsid w:val="006E71ED"/>
    <w:rsid w:val="006E7BDC"/>
    <w:rsid w:val="006E7C38"/>
    <w:rsid w:val="006F01B6"/>
    <w:rsid w:val="006F0385"/>
    <w:rsid w:val="006F04CB"/>
    <w:rsid w:val="006F04D3"/>
    <w:rsid w:val="006F054C"/>
    <w:rsid w:val="006F0C4E"/>
    <w:rsid w:val="006F0D5F"/>
    <w:rsid w:val="006F0FA9"/>
    <w:rsid w:val="006F0FDF"/>
    <w:rsid w:val="006F10E5"/>
    <w:rsid w:val="006F137E"/>
    <w:rsid w:val="006F15BD"/>
    <w:rsid w:val="006F1813"/>
    <w:rsid w:val="006F1B66"/>
    <w:rsid w:val="006F1BE1"/>
    <w:rsid w:val="006F1C39"/>
    <w:rsid w:val="006F1CC7"/>
    <w:rsid w:val="006F2796"/>
    <w:rsid w:val="006F298F"/>
    <w:rsid w:val="006F2A06"/>
    <w:rsid w:val="006F2AD2"/>
    <w:rsid w:val="006F2BAB"/>
    <w:rsid w:val="006F2E30"/>
    <w:rsid w:val="006F2E70"/>
    <w:rsid w:val="006F34E8"/>
    <w:rsid w:val="006F3607"/>
    <w:rsid w:val="006F36E6"/>
    <w:rsid w:val="006F370A"/>
    <w:rsid w:val="006F3ABB"/>
    <w:rsid w:val="006F3D85"/>
    <w:rsid w:val="006F3DF6"/>
    <w:rsid w:val="006F3F9C"/>
    <w:rsid w:val="006F40A5"/>
    <w:rsid w:val="006F4253"/>
    <w:rsid w:val="006F4387"/>
    <w:rsid w:val="006F4926"/>
    <w:rsid w:val="006F4EEA"/>
    <w:rsid w:val="006F53FA"/>
    <w:rsid w:val="006F553C"/>
    <w:rsid w:val="006F559A"/>
    <w:rsid w:val="006F578C"/>
    <w:rsid w:val="006F57D9"/>
    <w:rsid w:val="006F59FA"/>
    <w:rsid w:val="006F5B38"/>
    <w:rsid w:val="006F5B5D"/>
    <w:rsid w:val="006F60D7"/>
    <w:rsid w:val="006F62B5"/>
    <w:rsid w:val="006F648B"/>
    <w:rsid w:val="006F64C8"/>
    <w:rsid w:val="006F65CD"/>
    <w:rsid w:val="006F6971"/>
    <w:rsid w:val="006F6D23"/>
    <w:rsid w:val="006F6DC7"/>
    <w:rsid w:val="006F75ED"/>
    <w:rsid w:val="006F787D"/>
    <w:rsid w:val="006F7B44"/>
    <w:rsid w:val="0070018B"/>
    <w:rsid w:val="0070037D"/>
    <w:rsid w:val="00700803"/>
    <w:rsid w:val="0070088D"/>
    <w:rsid w:val="00701195"/>
    <w:rsid w:val="00701984"/>
    <w:rsid w:val="00701B29"/>
    <w:rsid w:val="00701BED"/>
    <w:rsid w:val="00701CF9"/>
    <w:rsid w:val="00701E6E"/>
    <w:rsid w:val="00702133"/>
    <w:rsid w:val="007024D2"/>
    <w:rsid w:val="0070289C"/>
    <w:rsid w:val="0070291E"/>
    <w:rsid w:val="007029B9"/>
    <w:rsid w:val="00702ECD"/>
    <w:rsid w:val="007030B0"/>
    <w:rsid w:val="0070311D"/>
    <w:rsid w:val="007031D1"/>
    <w:rsid w:val="007032E4"/>
    <w:rsid w:val="00703306"/>
    <w:rsid w:val="007033FD"/>
    <w:rsid w:val="0070374C"/>
    <w:rsid w:val="007038C2"/>
    <w:rsid w:val="00703915"/>
    <w:rsid w:val="00703E00"/>
    <w:rsid w:val="0070409D"/>
    <w:rsid w:val="007040D6"/>
    <w:rsid w:val="0070416A"/>
    <w:rsid w:val="00704BE9"/>
    <w:rsid w:val="00704D1B"/>
    <w:rsid w:val="00704EBA"/>
    <w:rsid w:val="00704EBE"/>
    <w:rsid w:val="00704F5C"/>
    <w:rsid w:val="00705B42"/>
    <w:rsid w:val="00705BD4"/>
    <w:rsid w:val="0070603D"/>
    <w:rsid w:val="00706133"/>
    <w:rsid w:val="0070639A"/>
    <w:rsid w:val="007065AB"/>
    <w:rsid w:val="00706694"/>
    <w:rsid w:val="00706AC1"/>
    <w:rsid w:val="00706C0B"/>
    <w:rsid w:val="00707BD4"/>
    <w:rsid w:val="00707D05"/>
    <w:rsid w:val="00707D9E"/>
    <w:rsid w:val="00707ED5"/>
    <w:rsid w:val="00707FAE"/>
    <w:rsid w:val="007100F9"/>
    <w:rsid w:val="0071028C"/>
    <w:rsid w:val="00710531"/>
    <w:rsid w:val="00710A8A"/>
    <w:rsid w:val="00710B7C"/>
    <w:rsid w:val="00710BA5"/>
    <w:rsid w:val="00710BFE"/>
    <w:rsid w:val="00710D3B"/>
    <w:rsid w:val="00711010"/>
    <w:rsid w:val="00711450"/>
    <w:rsid w:val="00711CCB"/>
    <w:rsid w:val="00712348"/>
    <w:rsid w:val="00713007"/>
    <w:rsid w:val="00713156"/>
    <w:rsid w:val="00713247"/>
    <w:rsid w:val="00713776"/>
    <w:rsid w:val="007138C0"/>
    <w:rsid w:val="00713CBC"/>
    <w:rsid w:val="00713DC2"/>
    <w:rsid w:val="00714450"/>
    <w:rsid w:val="00714657"/>
    <w:rsid w:val="007146D5"/>
    <w:rsid w:val="00714B49"/>
    <w:rsid w:val="00714BC1"/>
    <w:rsid w:val="00714C83"/>
    <w:rsid w:val="00714CDC"/>
    <w:rsid w:val="007152C7"/>
    <w:rsid w:val="007154F2"/>
    <w:rsid w:val="007155C2"/>
    <w:rsid w:val="00715B56"/>
    <w:rsid w:val="00715C16"/>
    <w:rsid w:val="00715FD3"/>
    <w:rsid w:val="0071604F"/>
    <w:rsid w:val="007160B9"/>
    <w:rsid w:val="007162EC"/>
    <w:rsid w:val="0071636B"/>
    <w:rsid w:val="007166C5"/>
    <w:rsid w:val="00716891"/>
    <w:rsid w:val="00716E58"/>
    <w:rsid w:val="00716E84"/>
    <w:rsid w:val="00716ECA"/>
    <w:rsid w:val="00717447"/>
    <w:rsid w:val="007175AA"/>
    <w:rsid w:val="00717805"/>
    <w:rsid w:val="00717899"/>
    <w:rsid w:val="00717A62"/>
    <w:rsid w:val="00717B70"/>
    <w:rsid w:val="00720566"/>
    <w:rsid w:val="007205DA"/>
    <w:rsid w:val="007207FD"/>
    <w:rsid w:val="00720AA5"/>
    <w:rsid w:val="007210A8"/>
    <w:rsid w:val="007212A1"/>
    <w:rsid w:val="0072149C"/>
    <w:rsid w:val="007215D5"/>
    <w:rsid w:val="007216B4"/>
    <w:rsid w:val="00721742"/>
    <w:rsid w:val="00721894"/>
    <w:rsid w:val="00721B8D"/>
    <w:rsid w:val="007225B0"/>
    <w:rsid w:val="0072262A"/>
    <w:rsid w:val="007227B9"/>
    <w:rsid w:val="00722932"/>
    <w:rsid w:val="00722955"/>
    <w:rsid w:val="00722978"/>
    <w:rsid w:val="00722A3D"/>
    <w:rsid w:val="00722AB8"/>
    <w:rsid w:val="00722DA3"/>
    <w:rsid w:val="00722EA2"/>
    <w:rsid w:val="00723290"/>
    <w:rsid w:val="00723782"/>
    <w:rsid w:val="00723A8D"/>
    <w:rsid w:val="00723DB2"/>
    <w:rsid w:val="00723E5E"/>
    <w:rsid w:val="0072403C"/>
    <w:rsid w:val="0072412C"/>
    <w:rsid w:val="0072494A"/>
    <w:rsid w:val="00724DBB"/>
    <w:rsid w:val="0072529A"/>
    <w:rsid w:val="007253F6"/>
    <w:rsid w:val="007257E2"/>
    <w:rsid w:val="00725CBF"/>
    <w:rsid w:val="00726516"/>
    <w:rsid w:val="0072682C"/>
    <w:rsid w:val="00726A68"/>
    <w:rsid w:val="00726AD9"/>
    <w:rsid w:val="00726D6B"/>
    <w:rsid w:val="00726E2A"/>
    <w:rsid w:val="00726E2D"/>
    <w:rsid w:val="00726FC4"/>
    <w:rsid w:val="00727515"/>
    <w:rsid w:val="00727713"/>
    <w:rsid w:val="00727982"/>
    <w:rsid w:val="00727F6A"/>
    <w:rsid w:val="0073004C"/>
    <w:rsid w:val="00730876"/>
    <w:rsid w:val="007308DB"/>
    <w:rsid w:val="00730B96"/>
    <w:rsid w:val="00730C14"/>
    <w:rsid w:val="00730FC8"/>
    <w:rsid w:val="0073102A"/>
    <w:rsid w:val="00731185"/>
    <w:rsid w:val="007311F0"/>
    <w:rsid w:val="00731278"/>
    <w:rsid w:val="0073152D"/>
    <w:rsid w:val="007319D3"/>
    <w:rsid w:val="00731A4F"/>
    <w:rsid w:val="00731F3F"/>
    <w:rsid w:val="007326C1"/>
    <w:rsid w:val="00732CD9"/>
    <w:rsid w:val="00733185"/>
    <w:rsid w:val="007335D5"/>
    <w:rsid w:val="007339C6"/>
    <w:rsid w:val="00733AD9"/>
    <w:rsid w:val="00733F7D"/>
    <w:rsid w:val="0073482B"/>
    <w:rsid w:val="00734903"/>
    <w:rsid w:val="00734B5C"/>
    <w:rsid w:val="00734C10"/>
    <w:rsid w:val="00734EA9"/>
    <w:rsid w:val="00735041"/>
    <w:rsid w:val="0073519D"/>
    <w:rsid w:val="00735A90"/>
    <w:rsid w:val="00736298"/>
    <w:rsid w:val="007362B0"/>
    <w:rsid w:val="00736395"/>
    <w:rsid w:val="007364FF"/>
    <w:rsid w:val="007366EC"/>
    <w:rsid w:val="007368F2"/>
    <w:rsid w:val="00736A74"/>
    <w:rsid w:val="00736C6A"/>
    <w:rsid w:val="00736F7F"/>
    <w:rsid w:val="00737245"/>
    <w:rsid w:val="007374AF"/>
    <w:rsid w:val="007378B6"/>
    <w:rsid w:val="00737A85"/>
    <w:rsid w:val="00737BE1"/>
    <w:rsid w:val="00737C8E"/>
    <w:rsid w:val="0074006C"/>
    <w:rsid w:val="00740217"/>
    <w:rsid w:val="007402AB"/>
    <w:rsid w:val="007405AB"/>
    <w:rsid w:val="00740722"/>
    <w:rsid w:val="007407B4"/>
    <w:rsid w:val="007408A9"/>
    <w:rsid w:val="0074095E"/>
    <w:rsid w:val="00740A60"/>
    <w:rsid w:val="00740B45"/>
    <w:rsid w:val="00740B86"/>
    <w:rsid w:val="00740C2A"/>
    <w:rsid w:val="00740CAA"/>
    <w:rsid w:val="00740CE2"/>
    <w:rsid w:val="00740F08"/>
    <w:rsid w:val="0074102F"/>
    <w:rsid w:val="007413DE"/>
    <w:rsid w:val="007414F6"/>
    <w:rsid w:val="0074153A"/>
    <w:rsid w:val="0074157A"/>
    <w:rsid w:val="0074165F"/>
    <w:rsid w:val="007416B8"/>
    <w:rsid w:val="007417C3"/>
    <w:rsid w:val="007418CA"/>
    <w:rsid w:val="0074197C"/>
    <w:rsid w:val="00741BBD"/>
    <w:rsid w:val="007422EA"/>
    <w:rsid w:val="00742307"/>
    <w:rsid w:val="00742C7B"/>
    <w:rsid w:val="00742CB3"/>
    <w:rsid w:val="00742E7E"/>
    <w:rsid w:val="00743771"/>
    <w:rsid w:val="00743885"/>
    <w:rsid w:val="00743908"/>
    <w:rsid w:val="00743AC0"/>
    <w:rsid w:val="00743B2A"/>
    <w:rsid w:val="00743C75"/>
    <w:rsid w:val="00743D47"/>
    <w:rsid w:val="00743E00"/>
    <w:rsid w:val="0074461B"/>
    <w:rsid w:val="00744AF7"/>
    <w:rsid w:val="0074503E"/>
    <w:rsid w:val="007455FC"/>
    <w:rsid w:val="007456DD"/>
    <w:rsid w:val="00745A72"/>
    <w:rsid w:val="00745D12"/>
    <w:rsid w:val="00745D37"/>
    <w:rsid w:val="0074638E"/>
    <w:rsid w:val="007463E3"/>
    <w:rsid w:val="00746589"/>
    <w:rsid w:val="00746604"/>
    <w:rsid w:val="00746D37"/>
    <w:rsid w:val="00746D85"/>
    <w:rsid w:val="00746E5E"/>
    <w:rsid w:val="00747109"/>
    <w:rsid w:val="007474D4"/>
    <w:rsid w:val="00747653"/>
    <w:rsid w:val="00747666"/>
    <w:rsid w:val="007476AB"/>
    <w:rsid w:val="007479B0"/>
    <w:rsid w:val="00747A87"/>
    <w:rsid w:val="00747AAD"/>
    <w:rsid w:val="00747DE3"/>
    <w:rsid w:val="00747EEC"/>
    <w:rsid w:val="00747F08"/>
    <w:rsid w:val="00747F6B"/>
    <w:rsid w:val="00750151"/>
    <w:rsid w:val="0075086A"/>
    <w:rsid w:val="00750C1F"/>
    <w:rsid w:val="007511B1"/>
    <w:rsid w:val="00751518"/>
    <w:rsid w:val="007515AE"/>
    <w:rsid w:val="007515D6"/>
    <w:rsid w:val="00751672"/>
    <w:rsid w:val="0075190E"/>
    <w:rsid w:val="00751D15"/>
    <w:rsid w:val="00751DFD"/>
    <w:rsid w:val="00751E92"/>
    <w:rsid w:val="00752096"/>
    <w:rsid w:val="007521B1"/>
    <w:rsid w:val="00752710"/>
    <w:rsid w:val="00752813"/>
    <w:rsid w:val="00752858"/>
    <w:rsid w:val="00752B2A"/>
    <w:rsid w:val="00752D87"/>
    <w:rsid w:val="007531ED"/>
    <w:rsid w:val="007532C1"/>
    <w:rsid w:val="00753312"/>
    <w:rsid w:val="007536BD"/>
    <w:rsid w:val="00753940"/>
    <w:rsid w:val="00753A7B"/>
    <w:rsid w:val="00753E96"/>
    <w:rsid w:val="0075403B"/>
    <w:rsid w:val="00754078"/>
    <w:rsid w:val="00754733"/>
    <w:rsid w:val="00754824"/>
    <w:rsid w:val="00754B36"/>
    <w:rsid w:val="00754B9F"/>
    <w:rsid w:val="00754C3B"/>
    <w:rsid w:val="00754CCC"/>
    <w:rsid w:val="00754F75"/>
    <w:rsid w:val="0075518C"/>
    <w:rsid w:val="0075588B"/>
    <w:rsid w:val="00755916"/>
    <w:rsid w:val="007559AC"/>
    <w:rsid w:val="00755F2A"/>
    <w:rsid w:val="00755FB3"/>
    <w:rsid w:val="0075600E"/>
    <w:rsid w:val="00756058"/>
    <w:rsid w:val="00756078"/>
    <w:rsid w:val="0075655B"/>
    <w:rsid w:val="00756A72"/>
    <w:rsid w:val="00756E45"/>
    <w:rsid w:val="00757329"/>
    <w:rsid w:val="00757411"/>
    <w:rsid w:val="00757594"/>
    <w:rsid w:val="00757658"/>
    <w:rsid w:val="007576AD"/>
    <w:rsid w:val="00757CE0"/>
    <w:rsid w:val="00757D7E"/>
    <w:rsid w:val="00757EE3"/>
    <w:rsid w:val="00760144"/>
    <w:rsid w:val="007601A6"/>
    <w:rsid w:val="007601BC"/>
    <w:rsid w:val="00760447"/>
    <w:rsid w:val="0076047A"/>
    <w:rsid w:val="007604DE"/>
    <w:rsid w:val="0076078D"/>
    <w:rsid w:val="00760875"/>
    <w:rsid w:val="00760A07"/>
    <w:rsid w:val="00760ACA"/>
    <w:rsid w:val="00760E18"/>
    <w:rsid w:val="00761080"/>
    <w:rsid w:val="0076180B"/>
    <w:rsid w:val="00761A01"/>
    <w:rsid w:val="007626D2"/>
    <w:rsid w:val="00762794"/>
    <w:rsid w:val="00762851"/>
    <w:rsid w:val="007628DE"/>
    <w:rsid w:val="0076290E"/>
    <w:rsid w:val="00762B2C"/>
    <w:rsid w:val="00762CE1"/>
    <w:rsid w:val="00762FC8"/>
    <w:rsid w:val="00763091"/>
    <w:rsid w:val="007633CE"/>
    <w:rsid w:val="00763421"/>
    <w:rsid w:val="00763440"/>
    <w:rsid w:val="0076346E"/>
    <w:rsid w:val="00763599"/>
    <w:rsid w:val="007638D5"/>
    <w:rsid w:val="00763A0B"/>
    <w:rsid w:val="00763B8B"/>
    <w:rsid w:val="00763C2D"/>
    <w:rsid w:val="00764C1D"/>
    <w:rsid w:val="00764C60"/>
    <w:rsid w:val="00764C9E"/>
    <w:rsid w:val="00764E8A"/>
    <w:rsid w:val="0076521A"/>
    <w:rsid w:val="007652AE"/>
    <w:rsid w:val="007652CE"/>
    <w:rsid w:val="00765511"/>
    <w:rsid w:val="0076557A"/>
    <w:rsid w:val="00765ADA"/>
    <w:rsid w:val="00765C56"/>
    <w:rsid w:val="00765E72"/>
    <w:rsid w:val="00765EA8"/>
    <w:rsid w:val="007660A7"/>
    <w:rsid w:val="0076617D"/>
    <w:rsid w:val="0076618F"/>
    <w:rsid w:val="00766541"/>
    <w:rsid w:val="007666B9"/>
    <w:rsid w:val="00766A91"/>
    <w:rsid w:val="00766BCF"/>
    <w:rsid w:val="007670CE"/>
    <w:rsid w:val="007670F0"/>
    <w:rsid w:val="0076715F"/>
    <w:rsid w:val="00767350"/>
    <w:rsid w:val="00767488"/>
    <w:rsid w:val="007679D5"/>
    <w:rsid w:val="00767A6D"/>
    <w:rsid w:val="00767C9E"/>
    <w:rsid w:val="007701D3"/>
    <w:rsid w:val="0077024E"/>
    <w:rsid w:val="007702ED"/>
    <w:rsid w:val="007707F7"/>
    <w:rsid w:val="00770845"/>
    <w:rsid w:val="00770978"/>
    <w:rsid w:val="00770B82"/>
    <w:rsid w:val="00770E87"/>
    <w:rsid w:val="0077102D"/>
    <w:rsid w:val="00771208"/>
    <w:rsid w:val="007712D8"/>
    <w:rsid w:val="0077139F"/>
    <w:rsid w:val="0077153D"/>
    <w:rsid w:val="007715E3"/>
    <w:rsid w:val="0077163C"/>
    <w:rsid w:val="007718A3"/>
    <w:rsid w:val="00771BC1"/>
    <w:rsid w:val="00771D70"/>
    <w:rsid w:val="00771F44"/>
    <w:rsid w:val="00771FD5"/>
    <w:rsid w:val="007724AD"/>
    <w:rsid w:val="00772523"/>
    <w:rsid w:val="007727AC"/>
    <w:rsid w:val="00772A0D"/>
    <w:rsid w:val="00772CD4"/>
    <w:rsid w:val="0077339A"/>
    <w:rsid w:val="00773465"/>
    <w:rsid w:val="00773856"/>
    <w:rsid w:val="00773C73"/>
    <w:rsid w:val="00773FA9"/>
    <w:rsid w:val="007740F6"/>
    <w:rsid w:val="0077420C"/>
    <w:rsid w:val="0077420F"/>
    <w:rsid w:val="00774697"/>
    <w:rsid w:val="00774F09"/>
    <w:rsid w:val="0077502D"/>
    <w:rsid w:val="007750E3"/>
    <w:rsid w:val="007752DE"/>
    <w:rsid w:val="007754DE"/>
    <w:rsid w:val="00775530"/>
    <w:rsid w:val="00775643"/>
    <w:rsid w:val="00775A0F"/>
    <w:rsid w:val="00775B51"/>
    <w:rsid w:val="00775CD6"/>
    <w:rsid w:val="00775E44"/>
    <w:rsid w:val="0077614F"/>
    <w:rsid w:val="00776681"/>
    <w:rsid w:val="007766E1"/>
    <w:rsid w:val="007767D3"/>
    <w:rsid w:val="00776BFE"/>
    <w:rsid w:val="00776CD0"/>
    <w:rsid w:val="00776DD1"/>
    <w:rsid w:val="00776F4D"/>
    <w:rsid w:val="007771AC"/>
    <w:rsid w:val="007773C7"/>
    <w:rsid w:val="00777821"/>
    <w:rsid w:val="007778E6"/>
    <w:rsid w:val="00777C90"/>
    <w:rsid w:val="00777EB3"/>
    <w:rsid w:val="00777EBE"/>
    <w:rsid w:val="00777FE6"/>
    <w:rsid w:val="0078051B"/>
    <w:rsid w:val="007805BC"/>
    <w:rsid w:val="00780C6D"/>
    <w:rsid w:val="00781062"/>
    <w:rsid w:val="00781081"/>
    <w:rsid w:val="007813E2"/>
    <w:rsid w:val="007815E9"/>
    <w:rsid w:val="007818B5"/>
    <w:rsid w:val="00781EA0"/>
    <w:rsid w:val="00782111"/>
    <w:rsid w:val="007821DC"/>
    <w:rsid w:val="00782420"/>
    <w:rsid w:val="007824AD"/>
    <w:rsid w:val="00782760"/>
    <w:rsid w:val="00782E0F"/>
    <w:rsid w:val="00782F73"/>
    <w:rsid w:val="00782F86"/>
    <w:rsid w:val="00783104"/>
    <w:rsid w:val="0078323C"/>
    <w:rsid w:val="00783272"/>
    <w:rsid w:val="007833D7"/>
    <w:rsid w:val="007836DA"/>
    <w:rsid w:val="00783704"/>
    <w:rsid w:val="00783A5A"/>
    <w:rsid w:val="00783B1C"/>
    <w:rsid w:val="00783B96"/>
    <w:rsid w:val="00783C5E"/>
    <w:rsid w:val="00783D51"/>
    <w:rsid w:val="00783E4E"/>
    <w:rsid w:val="00783FC4"/>
    <w:rsid w:val="00783FD0"/>
    <w:rsid w:val="0078401B"/>
    <w:rsid w:val="00784046"/>
    <w:rsid w:val="00784244"/>
    <w:rsid w:val="007842F4"/>
    <w:rsid w:val="00784EC2"/>
    <w:rsid w:val="00784F70"/>
    <w:rsid w:val="00785246"/>
    <w:rsid w:val="00785393"/>
    <w:rsid w:val="007855E3"/>
    <w:rsid w:val="007856C6"/>
    <w:rsid w:val="007859CE"/>
    <w:rsid w:val="00785C20"/>
    <w:rsid w:val="00785D02"/>
    <w:rsid w:val="00785FC5"/>
    <w:rsid w:val="0078657B"/>
    <w:rsid w:val="007866B4"/>
    <w:rsid w:val="00786726"/>
    <w:rsid w:val="0078682E"/>
    <w:rsid w:val="007868AF"/>
    <w:rsid w:val="00786ABF"/>
    <w:rsid w:val="00786BB9"/>
    <w:rsid w:val="00786E15"/>
    <w:rsid w:val="00787091"/>
    <w:rsid w:val="007870DA"/>
    <w:rsid w:val="0078718A"/>
    <w:rsid w:val="007875F2"/>
    <w:rsid w:val="00787AB3"/>
    <w:rsid w:val="00787AED"/>
    <w:rsid w:val="00787AEE"/>
    <w:rsid w:val="00787CE6"/>
    <w:rsid w:val="00787FCC"/>
    <w:rsid w:val="0079017D"/>
    <w:rsid w:val="007904A2"/>
    <w:rsid w:val="007904A6"/>
    <w:rsid w:val="00790682"/>
    <w:rsid w:val="00790C76"/>
    <w:rsid w:val="00790D2D"/>
    <w:rsid w:val="00790D6C"/>
    <w:rsid w:val="00790EE0"/>
    <w:rsid w:val="00791113"/>
    <w:rsid w:val="007911E5"/>
    <w:rsid w:val="00791761"/>
    <w:rsid w:val="00791766"/>
    <w:rsid w:val="0079179C"/>
    <w:rsid w:val="00791A54"/>
    <w:rsid w:val="00791BBE"/>
    <w:rsid w:val="00791F06"/>
    <w:rsid w:val="00792027"/>
    <w:rsid w:val="00792062"/>
    <w:rsid w:val="00792169"/>
    <w:rsid w:val="007923D2"/>
    <w:rsid w:val="00792891"/>
    <w:rsid w:val="00792952"/>
    <w:rsid w:val="00792AA2"/>
    <w:rsid w:val="00792EB0"/>
    <w:rsid w:val="00792F25"/>
    <w:rsid w:val="0079324A"/>
    <w:rsid w:val="007937E3"/>
    <w:rsid w:val="00793E2B"/>
    <w:rsid w:val="00793E35"/>
    <w:rsid w:val="0079400D"/>
    <w:rsid w:val="00794416"/>
    <w:rsid w:val="00794675"/>
    <w:rsid w:val="0079498D"/>
    <w:rsid w:val="007949EF"/>
    <w:rsid w:val="00794A4A"/>
    <w:rsid w:val="00794B94"/>
    <w:rsid w:val="00794D0C"/>
    <w:rsid w:val="00794E0F"/>
    <w:rsid w:val="00794E18"/>
    <w:rsid w:val="007950F8"/>
    <w:rsid w:val="0079523E"/>
    <w:rsid w:val="007952E1"/>
    <w:rsid w:val="0079565E"/>
    <w:rsid w:val="007956A9"/>
    <w:rsid w:val="00795BC5"/>
    <w:rsid w:val="00795C27"/>
    <w:rsid w:val="00795DF1"/>
    <w:rsid w:val="00795F91"/>
    <w:rsid w:val="0079621F"/>
    <w:rsid w:val="007963F9"/>
    <w:rsid w:val="007965C7"/>
    <w:rsid w:val="00796622"/>
    <w:rsid w:val="00796733"/>
    <w:rsid w:val="00797B6A"/>
    <w:rsid w:val="00797DDA"/>
    <w:rsid w:val="00797E1B"/>
    <w:rsid w:val="007A0181"/>
    <w:rsid w:val="007A081A"/>
    <w:rsid w:val="007A0973"/>
    <w:rsid w:val="007A0D97"/>
    <w:rsid w:val="007A0DE8"/>
    <w:rsid w:val="007A0E03"/>
    <w:rsid w:val="007A1200"/>
    <w:rsid w:val="007A1847"/>
    <w:rsid w:val="007A19CA"/>
    <w:rsid w:val="007A1B51"/>
    <w:rsid w:val="007A1BAF"/>
    <w:rsid w:val="007A1D78"/>
    <w:rsid w:val="007A1ED4"/>
    <w:rsid w:val="007A20D6"/>
    <w:rsid w:val="007A2575"/>
    <w:rsid w:val="007A2705"/>
    <w:rsid w:val="007A28DF"/>
    <w:rsid w:val="007A2A0A"/>
    <w:rsid w:val="007A2C7A"/>
    <w:rsid w:val="007A3212"/>
    <w:rsid w:val="007A3596"/>
    <w:rsid w:val="007A36DB"/>
    <w:rsid w:val="007A3BBB"/>
    <w:rsid w:val="007A3D87"/>
    <w:rsid w:val="007A4129"/>
    <w:rsid w:val="007A4204"/>
    <w:rsid w:val="007A4294"/>
    <w:rsid w:val="007A444F"/>
    <w:rsid w:val="007A4599"/>
    <w:rsid w:val="007A45BB"/>
    <w:rsid w:val="007A47B1"/>
    <w:rsid w:val="007A49FA"/>
    <w:rsid w:val="007A4BBC"/>
    <w:rsid w:val="007A4C12"/>
    <w:rsid w:val="007A4CA1"/>
    <w:rsid w:val="007A533E"/>
    <w:rsid w:val="007A53B9"/>
    <w:rsid w:val="007A541D"/>
    <w:rsid w:val="007A58F2"/>
    <w:rsid w:val="007A591C"/>
    <w:rsid w:val="007A59DA"/>
    <w:rsid w:val="007A5C1D"/>
    <w:rsid w:val="007A5C27"/>
    <w:rsid w:val="007A5CB5"/>
    <w:rsid w:val="007A5E2A"/>
    <w:rsid w:val="007A5FBA"/>
    <w:rsid w:val="007A61A7"/>
    <w:rsid w:val="007A63B7"/>
    <w:rsid w:val="007A665E"/>
    <w:rsid w:val="007A6CB2"/>
    <w:rsid w:val="007A6CF4"/>
    <w:rsid w:val="007A6FDE"/>
    <w:rsid w:val="007A7823"/>
    <w:rsid w:val="007A7EA9"/>
    <w:rsid w:val="007B0117"/>
    <w:rsid w:val="007B0373"/>
    <w:rsid w:val="007B06E4"/>
    <w:rsid w:val="007B0814"/>
    <w:rsid w:val="007B0847"/>
    <w:rsid w:val="007B0CA1"/>
    <w:rsid w:val="007B0D1A"/>
    <w:rsid w:val="007B150C"/>
    <w:rsid w:val="007B1590"/>
    <w:rsid w:val="007B1980"/>
    <w:rsid w:val="007B19E4"/>
    <w:rsid w:val="007B1C8F"/>
    <w:rsid w:val="007B1EFC"/>
    <w:rsid w:val="007B2363"/>
    <w:rsid w:val="007B265C"/>
    <w:rsid w:val="007B2AE5"/>
    <w:rsid w:val="007B2B5C"/>
    <w:rsid w:val="007B30AB"/>
    <w:rsid w:val="007B31CC"/>
    <w:rsid w:val="007B3282"/>
    <w:rsid w:val="007B385B"/>
    <w:rsid w:val="007B3A25"/>
    <w:rsid w:val="007B3D55"/>
    <w:rsid w:val="007B3DF3"/>
    <w:rsid w:val="007B4363"/>
    <w:rsid w:val="007B4466"/>
    <w:rsid w:val="007B4723"/>
    <w:rsid w:val="007B4870"/>
    <w:rsid w:val="007B4D27"/>
    <w:rsid w:val="007B501C"/>
    <w:rsid w:val="007B554F"/>
    <w:rsid w:val="007B579E"/>
    <w:rsid w:val="007B5D21"/>
    <w:rsid w:val="007B5E5F"/>
    <w:rsid w:val="007B5F0B"/>
    <w:rsid w:val="007B61B2"/>
    <w:rsid w:val="007B6433"/>
    <w:rsid w:val="007B680B"/>
    <w:rsid w:val="007B6A5E"/>
    <w:rsid w:val="007B6C9F"/>
    <w:rsid w:val="007B6D63"/>
    <w:rsid w:val="007B6E65"/>
    <w:rsid w:val="007B6F1C"/>
    <w:rsid w:val="007B6F34"/>
    <w:rsid w:val="007B7144"/>
    <w:rsid w:val="007B733D"/>
    <w:rsid w:val="007B753A"/>
    <w:rsid w:val="007B79BB"/>
    <w:rsid w:val="007B7D83"/>
    <w:rsid w:val="007B7E4B"/>
    <w:rsid w:val="007B7F32"/>
    <w:rsid w:val="007C00CC"/>
    <w:rsid w:val="007C0497"/>
    <w:rsid w:val="007C0530"/>
    <w:rsid w:val="007C0660"/>
    <w:rsid w:val="007C0AF2"/>
    <w:rsid w:val="007C0DEE"/>
    <w:rsid w:val="007C116B"/>
    <w:rsid w:val="007C1620"/>
    <w:rsid w:val="007C1689"/>
    <w:rsid w:val="007C1961"/>
    <w:rsid w:val="007C1972"/>
    <w:rsid w:val="007C1DC8"/>
    <w:rsid w:val="007C1DD3"/>
    <w:rsid w:val="007C2079"/>
    <w:rsid w:val="007C21C3"/>
    <w:rsid w:val="007C2260"/>
    <w:rsid w:val="007C2532"/>
    <w:rsid w:val="007C27C7"/>
    <w:rsid w:val="007C2967"/>
    <w:rsid w:val="007C2E89"/>
    <w:rsid w:val="007C2E8F"/>
    <w:rsid w:val="007C2FBE"/>
    <w:rsid w:val="007C315B"/>
    <w:rsid w:val="007C3315"/>
    <w:rsid w:val="007C351A"/>
    <w:rsid w:val="007C3785"/>
    <w:rsid w:val="007C37B2"/>
    <w:rsid w:val="007C37E9"/>
    <w:rsid w:val="007C3918"/>
    <w:rsid w:val="007C3E71"/>
    <w:rsid w:val="007C3ED3"/>
    <w:rsid w:val="007C3F73"/>
    <w:rsid w:val="007C4189"/>
    <w:rsid w:val="007C41C9"/>
    <w:rsid w:val="007C4734"/>
    <w:rsid w:val="007C4870"/>
    <w:rsid w:val="007C4C0A"/>
    <w:rsid w:val="007C4C48"/>
    <w:rsid w:val="007C4CDD"/>
    <w:rsid w:val="007C4D5F"/>
    <w:rsid w:val="007C50CE"/>
    <w:rsid w:val="007C50F8"/>
    <w:rsid w:val="007C527E"/>
    <w:rsid w:val="007C52F9"/>
    <w:rsid w:val="007C5442"/>
    <w:rsid w:val="007C55C2"/>
    <w:rsid w:val="007C5A61"/>
    <w:rsid w:val="007C5D74"/>
    <w:rsid w:val="007C5E62"/>
    <w:rsid w:val="007C634C"/>
    <w:rsid w:val="007C6535"/>
    <w:rsid w:val="007C6665"/>
    <w:rsid w:val="007C6B45"/>
    <w:rsid w:val="007C6BE9"/>
    <w:rsid w:val="007C6C34"/>
    <w:rsid w:val="007C7371"/>
    <w:rsid w:val="007C77C9"/>
    <w:rsid w:val="007C79D3"/>
    <w:rsid w:val="007C7B88"/>
    <w:rsid w:val="007C7D3A"/>
    <w:rsid w:val="007D06F1"/>
    <w:rsid w:val="007D0A37"/>
    <w:rsid w:val="007D0A4D"/>
    <w:rsid w:val="007D0A8E"/>
    <w:rsid w:val="007D0FC1"/>
    <w:rsid w:val="007D1126"/>
    <w:rsid w:val="007D11F2"/>
    <w:rsid w:val="007D152E"/>
    <w:rsid w:val="007D169F"/>
    <w:rsid w:val="007D182E"/>
    <w:rsid w:val="007D184C"/>
    <w:rsid w:val="007D18B3"/>
    <w:rsid w:val="007D1E5E"/>
    <w:rsid w:val="007D2006"/>
    <w:rsid w:val="007D22A4"/>
    <w:rsid w:val="007D254A"/>
    <w:rsid w:val="007D26E5"/>
    <w:rsid w:val="007D29A4"/>
    <w:rsid w:val="007D29F6"/>
    <w:rsid w:val="007D2DED"/>
    <w:rsid w:val="007D2EC9"/>
    <w:rsid w:val="007D311F"/>
    <w:rsid w:val="007D342D"/>
    <w:rsid w:val="007D36FD"/>
    <w:rsid w:val="007D3B35"/>
    <w:rsid w:val="007D3CA5"/>
    <w:rsid w:val="007D3DE8"/>
    <w:rsid w:val="007D3EC6"/>
    <w:rsid w:val="007D4361"/>
    <w:rsid w:val="007D43A1"/>
    <w:rsid w:val="007D457B"/>
    <w:rsid w:val="007D469B"/>
    <w:rsid w:val="007D4CD7"/>
    <w:rsid w:val="007D4D0B"/>
    <w:rsid w:val="007D4DC9"/>
    <w:rsid w:val="007D4E91"/>
    <w:rsid w:val="007D4F26"/>
    <w:rsid w:val="007D50E4"/>
    <w:rsid w:val="007D55BB"/>
    <w:rsid w:val="007D594F"/>
    <w:rsid w:val="007D5952"/>
    <w:rsid w:val="007D59C2"/>
    <w:rsid w:val="007D5A1D"/>
    <w:rsid w:val="007D5B7C"/>
    <w:rsid w:val="007D5DFF"/>
    <w:rsid w:val="007D5ED0"/>
    <w:rsid w:val="007D5F7F"/>
    <w:rsid w:val="007D5FB0"/>
    <w:rsid w:val="007D6017"/>
    <w:rsid w:val="007D6A3E"/>
    <w:rsid w:val="007D6D97"/>
    <w:rsid w:val="007D7021"/>
    <w:rsid w:val="007D7511"/>
    <w:rsid w:val="007D7586"/>
    <w:rsid w:val="007D7664"/>
    <w:rsid w:val="007D78D2"/>
    <w:rsid w:val="007D7B46"/>
    <w:rsid w:val="007D7CAF"/>
    <w:rsid w:val="007E07A9"/>
    <w:rsid w:val="007E0811"/>
    <w:rsid w:val="007E0B8C"/>
    <w:rsid w:val="007E0F5B"/>
    <w:rsid w:val="007E1049"/>
    <w:rsid w:val="007E1084"/>
    <w:rsid w:val="007E15FD"/>
    <w:rsid w:val="007E1679"/>
    <w:rsid w:val="007E1842"/>
    <w:rsid w:val="007E1ADC"/>
    <w:rsid w:val="007E1E1D"/>
    <w:rsid w:val="007E1F96"/>
    <w:rsid w:val="007E2319"/>
    <w:rsid w:val="007E24AC"/>
    <w:rsid w:val="007E2632"/>
    <w:rsid w:val="007E2970"/>
    <w:rsid w:val="007E29FD"/>
    <w:rsid w:val="007E2E48"/>
    <w:rsid w:val="007E318A"/>
    <w:rsid w:val="007E33B9"/>
    <w:rsid w:val="007E35E4"/>
    <w:rsid w:val="007E3621"/>
    <w:rsid w:val="007E3696"/>
    <w:rsid w:val="007E3785"/>
    <w:rsid w:val="007E3B3D"/>
    <w:rsid w:val="007E3EE8"/>
    <w:rsid w:val="007E3F33"/>
    <w:rsid w:val="007E418A"/>
    <w:rsid w:val="007E41AD"/>
    <w:rsid w:val="007E45CC"/>
    <w:rsid w:val="007E48C7"/>
    <w:rsid w:val="007E4A31"/>
    <w:rsid w:val="007E4C96"/>
    <w:rsid w:val="007E4F76"/>
    <w:rsid w:val="007E50E6"/>
    <w:rsid w:val="007E53B9"/>
    <w:rsid w:val="007E5408"/>
    <w:rsid w:val="007E5553"/>
    <w:rsid w:val="007E59CA"/>
    <w:rsid w:val="007E68C2"/>
    <w:rsid w:val="007E6B0D"/>
    <w:rsid w:val="007E6B2E"/>
    <w:rsid w:val="007E6B78"/>
    <w:rsid w:val="007E6CEC"/>
    <w:rsid w:val="007E6CF7"/>
    <w:rsid w:val="007E762B"/>
    <w:rsid w:val="007E77DD"/>
    <w:rsid w:val="007E77E4"/>
    <w:rsid w:val="007E7931"/>
    <w:rsid w:val="007E7F55"/>
    <w:rsid w:val="007F0299"/>
    <w:rsid w:val="007F0487"/>
    <w:rsid w:val="007F075D"/>
    <w:rsid w:val="007F07C4"/>
    <w:rsid w:val="007F07EC"/>
    <w:rsid w:val="007F08C2"/>
    <w:rsid w:val="007F0C5C"/>
    <w:rsid w:val="007F0D67"/>
    <w:rsid w:val="007F123E"/>
    <w:rsid w:val="007F15B7"/>
    <w:rsid w:val="007F189A"/>
    <w:rsid w:val="007F18EE"/>
    <w:rsid w:val="007F1CC0"/>
    <w:rsid w:val="007F1D2B"/>
    <w:rsid w:val="007F1EDF"/>
    <w:rsid w:val="007F1FAD"/>
    <w:rsid w:val="007F2193"/>
    <w:rsid w:val="007F240B"/>
    <w:rsid w:val="007F250C"/>
    <w:rsid w:val="007F27F5"/>
    <w:rsid w:val="007F2A93"/>
    <w:rsid w:val="007F2B2E"/>
    <w:rsid w:val="007F2B59"/>
    <w:rsid w:val="007F2CE4"/>
    <w:rsid w:val="007F2DAE"/>
    <w:rsid w:val="007F3134"/>
    <w:rsid w:val="007F3434"/>
    <w:rsid w:val="007F3481"/>
    <w:rsid w:val="007F381C"/>
    <w:rsid w:val="007F39E1"/>
    <w:rsid w:val="007F3DC2"/>
    <w:rsid w:val="007F40B1"/>
    <w:rsid w:val="007F44F0"/>
    <w:rsid w:val="007F45FF"/>
    <w:rsid w:val="007F4696"/>
    <w:rsid w:val="007F49BE"/>
    <w:rsid w:val="007F49F1"/>
    <w:rsid w:val="007F4AE1"/>
    <w:rsid w:val="007F501C"/>
    <w:rsid w:val="007F502D"/>
    <w:rsid w:val="007F534C"/>
    <w:rsid w:val="007F5478"/>
    <w:rsid w:val="007F56FE"/>
    <w:rsid w:val="007F5EE9"/>
    <w:rsid w:val="007F624D"/>
    <w:rsid w:val="007F6428"/>
    <w:rsid w:val="007F68A2"/>
    <w:rsid w:val="007F7582"/>
    <w:rsid w:val="007F76A5"/>
    <w:rsid w:val="007F77CA"/>
    <w:rsid w:val="007F7A00"/>
    <w:rsid w:val="007F7C3E"/>
    <w:rsid w:val="007F7CB8"/>
    <w:rsid w:val="00800126"/>
    <w:rsid w:val="008007BD"/>
    <w:rsid w:val="00800CE0"/>
    <w:rsid w:val="00800D49"/>
    <w:rsid w:val="00800E15"/>
    <w:rsid w:val="00800FA2"/>
    <w:rsid w:val="00801136"/>
    <w:rsid w:val="0080124A"/>
    <w:rsid w:val="0080133E"/>
    <w:rsid w:val="008015DC"/>
    <w:rsid w:val="008017B4"/>
    <w:rsid w:val="008018B6"/>
    <w:rsid w:val="00801CFD"/>
    <w:rsid w:val="00801D33"/>
    <w:rsid w:val="00801E09"/>
    <w:rsid w:val="00801F9B"/>
    <w:rsid w:val="008021BD"/>
    <w:rsid w:val="008022B0"/>
    <w:rsid w:val="0080361C"/>
    <w:rsid w:val="00803B83"/>
    <w:rsid w:val="00803D5A"/>
    <w:rsid w:val="0080413E"/>
    <w:rsid w:val="008041C2"/>
    <w:rsid w:val="00804596"/>
    <w:rsid w:val="008047DB"/>
    <w:rsid w:val="00804BF9"/>
    <w:rsid w:val="00804CB7"/>
    <w:rsid w:val="008050DC"/>
    <w:rsid w:val="008053FC"/>
    <w:rsid w:val="00805794"/>
    <w:rsid w:val="008057A9"/>
    <w:rsid w:val="00805930"/>
    <w:rsid w:val="00805EA9"/>
    <w:rsid w:val="0080601A"/>
    <w:rsid w:val="00806378"/>
    <w:rsid w:val="0080638A"/>
    <w:rsid w:val="0080671A"/>
    <w:rsid w:val="0080677E"/>
    <w:rsid w:val="00806C99"/>
    <w:rsid w:val="008070D0"/>
    <w:rsid w:val="00807138"/>
    <w:rsid w:val="00807225"/>
    <w:rsid w:val="0080736D"/>
    <w:rsid w:val="008079C5"/>
    <w:rsid w:val="008079E6"/>
    <w:rsid w:val="00807B05"/>
    <w:rsid w:val="00807CE6"/>
    <w:rsid w:val="00807EBD"/>
    <w:rsid w:val="00807F58"/>
    <w:rsid w:val="00810154"/>
    <w:rsid w:val="0081015C"/>
    <w:rsid w:val="008103DE"/>
    <w:rsid w:val="00810535"/>
    <w:rsid w:val="00810786"/>
    <w:rsid w:val="00810960"/>
    <w:rsid w:val="00811004"/>
    <w:rsid w:val="00811359"/>
    <w:rsid w:val="0081160E"/>
    <w:rsid w:val="0081163E"/>
    <w:rsid w:val="00811A06"/>
    <w:rsid w:val="00811B88"/>
    <w:rsid w:val="00811B97"/>
    <w:rsid w:val="00811BE3"/>
    <w:rsid w:val="00811C93"/>
    <w:rsid w:val="0081293D"/>
    <w:rsid w:val="00812C09"/>
    <w:rsid w:val="00813141"/>
    <w:rsid w:val="00813158"/>
    <w:rsid w:val="008131B0"/>
    <w:rsid w:val="0081352C"/>
    <w:rsid w:val="00813534"/>
    <w:rsid w:val="008137B5"/>
    <w:rsid w:val="00814033"/>
    <w:rsid w:val="00814117"/>
    <w:rsid w:val="0081436E"/>
    <w:rsid w:val="00814492"/>
    <w:rsid w:val="008145F0"/>
    <w:rsid w:val="008148EE"/>
    <w:rsid w:val="008149E2"/>
    <w:rsid w:val="00814B2F"/>
    <w:rsid w:val="00814F45"/>
    <w:rsid w:val="00815244"/>
    <w:rsid w:val="0081601C"/>
    <w:rsid w:val="00816172"/>
    <w:rsid w:val="008161C8"/>
    <w:rsid w:val="0081620C"/>
    <w:rsid w:val="00816A66"/>
    <w:rsid w:val="00816AB0"/>
    <w:rsid w:val="00816B2E"/>
    <w:rsid w:val="00816C13"/>
    <w:rsid w:val="00816DE1"/>
    <w:rsid w:val="008173CE"/>
    <w:rsid w:val="008174FD"/>
    <w:rsid w:val="00817872"/>
    <w:rsid w:val="00817930"/>
    <w:rsid w:val="00817AC4"/>
    <w:rsid w:val="00817BFD"/>
    <w:rsid w:val="00817E43"/>
    <w:rsid w:val="00817E57"/>
    <w:rsid w:val="00817EAC"/>
    <w:rsid w:val="00817F07"/>
    <w:rsid w:val="00820358"/>
    <w:rsid w:val="008205BC"/>
    <w:rsid w:val="0082069D"/>
    <w:rsid w:val="00820FBA"/>
    <w:rsid w:val="0082117E"/>
    <w:rsid w:val="0082128A"/>
    <w:rsid w:val="008219F0"/>
    <w:rsid w:val="00821C70"/>
    <w:rsid w:val="0082216C"/>
    <w:rsid w:val="00822191"/>
    <w:rsid w:val="00822200"/>
    <w:rsid w:val="00822257"/>
    <w:rsid w:val="00822268"/>
    <w:rsid w:val="00822440"/>
    <w:rsid w:val="00822588"/>
    <w:rsid w:val="0082264B"/>
    <w:rsid w:val="00822D54"/>
    <w:rsid w:val="00822F60"/>
    <w:rsid w:val="00823230"/>
    <w:rsid w:val="00823319"/>
    <w:rsid w:val="008233A6"/>
    <w:rsid w:val="00823693"/>
    <w:rsid w:val="008237B7"/>
    <w:rsid w:val="0082393F"/>
    <w:rsid w:val="00823A3D"/>
    <w:rsid w:val="00823FA8"/>
    <w:rsid w:val="00824091"/>
    <w:rsid w:val="0082427E"/>
    <w:rsid w:val="008242D4"/>
    <w:rsid w:val="008246CE"/>
    <w:rsid w:val="00824FF3"/>
    <w:rsid w:val="00825079"/>
    <w:rsid w:val="00825170"/>
    <w:rsid w:val="0082548C"/>
    <w:rsid w:val="008255FC"/>
    <w:rsid w:val="00825657"/>
    <w:rsid w:val="00825B0A"/>
    <w:rsid w:val="00825B91"/>
    <w:rsid w:val="008263A4"/>
    <w:rsid w:val="00826438"/>
    <w:rsid w:val="00826501"/>
    <w:rsid w:val="0082703C"/>
    <w:rsid w:val="00827111"/>
    <w:rsid w:val="008275F1"/>
    <w:rsid w:val="00827674"/>
    <w:rsid w:val="008276E3"/>
    <w:rsid w:val="0082771C"/>
    <w:rsid w:val="00827B0A"/>
    <w:rsid w:val="00827EFA"/>
    <w:rsid w:val="008303A7"/>
    <w:rsid w:val="00830523"/>
    <w:rsid w:val="00830608"/>
    <w:rsid w:val="00830673"/>
    <w:rsid w:val="008306F1"/>
    <w:rsid w:val="008307F9"/>
    <w:rsid w:val="00830DB4"/>
    <w:rsid w:val="00830E4D"/>
    <w:rsid w:val="00830E6E"/>
    <w:rsid w:val="0083107F"/>
    <w:rsid w:val="008314DD"/>
    <w:rsid w:val="00831501"/>
    <w:rsid w:val="00831569"/>
    <w:rsid w:val="0083158B"/>
    <w:rsid w:val="00831751"/>
    <w:rsid w:val="00831765"/>
    <w:rsid w:val="00831A14"/>
    <w:rsid w:val="00831BC8"/>
    <w:rsid w:val="00831DAB"/>
    <w:rsid w:val="00831EDE"/>
    <w:rsid w:val="00832253"/>
    <w:rsid w:val="00832855"/>
    <w:rsid w:val="008328DF"/>
    <w:rsid w:val="00832A52"/>
    <w:rsid w:val="00832A58"/>
    <w:rsid w:val="00832AEA"/>
    <w:rsid w:val="00832B7D"/>
    <w:rsid w:val="00832D7A"/>
    <w:rsid w:val="00832F95"/>
    <w:rsid w:val="008332C9"/>
    <w:rsid w:val="00833361"/>
    <w:rsid w:val="008333ED"/>
    <w:rsid w:val="008334CF"/>
    <w:rsid w:val="0083359D"/>
    <w:rsid w:val="0083384E"/>
    <w:rsid w:val="00833EEF"/>
    <w:rsid w:val="00833FEF"/>
    <w:rsid w:val="00833FF3"/>
    <w:rsid w:val="008340E4"/>
    <w:rsid w:val="00834176"/>
    <w:rsid w:val="008341F4"/>
    <w:rsid w:val="008343C0"/>
    <w:rsid w:val="00834409"/>
    <w:rsid w:val="00834776"/>
    <w:rsid w:val="0083477D"/>
    <w:rsid w:val="0083488C"/>
    <w:rsid w:val="00835247"/>
    <w:rsid w:val="0083576C"/>
    <w:rsid w:val="008357C2"/>
    <w:rsid w:val="00835859"/>
    <w:rsid w:val="00835ACE"/>
    <w:rsid w:val="00835C71"/>
    <w:rsid w:val="00835CCD"/>
    <w:rsid w:val="00836028"/>
    <w:rsid w:val="00836946"/>
    <w:rsid w:val="00836AC1"/>
    <w:rsid w:val="00836AE0"/>
    <w:rsid w:val="00836B26"/>
    <w:rsid w:val="00836F1A"/>
    <w:rsid w:val="00836F74"/>
    <w:rsid w:val="008371C7"/>
    <w:rsid w:val="00837359"/>
    <w:rsid w:val="0083743F"/>
    <w:rsid w:val="008377B8"/>
    <w:rsid w:val="00837B73"/>
    <w:rsid w:val="00837C2B"/>
    <w:rsid w:val="00837D49"/>
    <w:rsid w:val="00837DB4"/>
    <w:rsid w:val="00837F6F"/>
    <w:rsid w:val="0084019D"/>
    <w:rsid w:val="00840274"/>
    <w:rsid w:val="0084085F"/>
    <w:rsid w:val="00840F78"/>
    <w:rsid w:val="008410F2"/>
    <w:rsid w:val="00841579"/>
    <w:rsid w:val="008418CC"/>
    <w:rsid w:val="00841DCE"/>
    <w:rsid w:val="00841EEC"/>
    <w:rsid w:val="008423E3"/>
    <w:rsid w:val="0084271D"/>
    <w:rsid w:val="00842885"/>
    <w:rsid w:val="0084295F"/>
    <w:rsid w:val="00842BC6"/>
    <w:rsid w:val="00842F7A"/>
    <w:rsid w:val="00843112"/>
    <w:rsid w:val="0084334F"/>
    <w:rsid w:val="008436AF"/>
    <w:rsid w:val="00843749"/>
    <w:rsid w:val="00843823"/>
    <w:rsid w:val="008438F2"/>
    <w:rsid w:val="0084391B"/>
    <w:rsid w:val="00843BEC"/>
    <w:rsid w:val="00843F6F"/>
    <w:rsid w:val="00844052"/>
    <w:rsid w:val="00844145"/>
    <w:rsid w:val="00844820"/>
    <w:rsid w:val="0084492A"/>
    <w:rsid w:val="00844B00"/>
    <w:rsid w:val="00844CEB"/>
    <w:rsid w:val="00844D17"/>
    <w:rsid w:val="00845179"/>
    <w:rsid w:val="0084541F"/>
    <w:rsid w:val="00845484"/>
    <w:rsid w:val="0084562A"/>
    <w:rsid w:val="00845686"/>
    <w:rsid w:val="008457A5"/>
    <w:rsid w:val="00845B92"/>
    <w:rsid w:val="00845BA8"/>
    <w:rsid w:val="00845E37"/>
    <w:rsid w:val="00845FB5"/>
    <w:rsid w:val="0084602A"/>
    <w:rsid w:val="00846305"/>
    <w:rsid w:val="00846466"/>
    <w:rsid w:val="00846743"/>
    <w:rsid w:val="008468D7"/>
    <w:rsid w:val="008469F8"/>
    <w:rsid w:val="00846EE8"/>
    <w:rsid w:val="008474D3"/>
    <w:rsid w:val="00847765"/>
    <w:rsid w:val="00847C36"/>
    <w:rsid w:val="00847EF1"/>
    <w:rsid w:val="0085004A"/>
    <w:rsid w:val="00850D99"/>
    <w:rsid w:val="0085107B"/>
    <w:rsid w:val="008510BA"/>
    <w:rsid w:val="00851169"/>
    <w:rsid w:val="00851224"/>
    <w:rsid w:val="008514B4"/>
    <w:rsid w:val="008514F5"/>
    <w:rsid w:val="00851A11"/>
    <w:rsid w:val="00851C32"/>
    <w:rsid w:val="00851E1F"/>
    <w:rsid w:val="00851F72"/>
    <w:rsid w:val="0085201C"/>
    <w:rsid w:val="00852464"/>
    <w:rsid w:val="008525CB"/>
    <w:rsid w:val="0085289B"/>
    <w:rsid w:val="00852901"/>
    <w:rsid w:val="00852914"/>
    <w:rsid w:val="00852AE8"/>
    <w:rsid w:val="00852BC0"/>
    <w:rsid w:val="0085322A"/>
    <w:rsid w:val="00853EA0"/>
    <w:rsid w:val="0085421C"/>
    <w:rsid w:val="008542A7"/>
    <w:rsid w:val="0085463F"/>
    <w:rsid w:val="008549B5"/>
    <w:rsid w:val="00854AEC"/>
    <w:rsid w:val="008557D9"/>
    <w:rsid w:val="0085587D"/>
    <w:rsid w:val="00855AEC"/>
    <w:rsid w:val="00855BBC"/>
    <w:rsid w:val="00855BD0"/>
    <w:rsid w:val="00855DA7"/>
    <w:rsid w:val="00855E00"/>
    <w:rsid w:val="00855E71"/>
    <w:rsid w:val="008563FC"/>
    <w:rsid w:val="00856854"/>
    <w:rsid w:val="00856B4F"/>
    <w:rsid w:val="00857063"/>
    <w:rsid w:val="00857654"/>
    <w:rsid w:val="00857717"/>
    <w:rsid w:val="0085798C"/>
    <w:rsid w:val="00857DF0"/>
    <w:rsid w:val="008602A1"/>
    <w:rsid w:val="008606E6"/>
    <w:rsid w:val="00860722"/>
    <w:rsid w:val="00860917"/>
    <w:rsid w:val="00860D4D"/>
    <w:rsid w:val="00860D84"/>
    <w:rsid w:val="00860F03"/>
    <w:rsid w:val="00860F78"/>
    <w:rsid w:val="00860F82"/>
    <w:rsid w:val="00860FEF"/>
    <w:rsid w:val="008616A4"/>
    <w:rsid w:val="00861980"/>
    <w:rsid w:val="00861EF9"/>
    <w:rsid w:val="0086267E"/>
    <w:rsid w:val="008629A6"/>
    <w:rsid w:val="00862A15"/>
    <w:rsid w:val="00862BB8"/>
    <w:rsid w:val="00862CDF"/>
    <w:rsid w:val="0086340E"/>
    <w:rsid w:val="0086348C"/>
    <w:rsid w:val="00863B00"/>
    <w:rsid w:val="00863BF8"/>
    <w:rsid w:val="00863C68"/>
    <w:rsid w:val="008640DB"/>
    <w:rsid w:val="008641DC"/>
    <w:rsid w:val="0086445E"/>
    <w:rsid w:val="008644D7"/>
    <w:rsid w:val="008645C5"/>
    <w:rsid w:val="0086472E"/>
    <w:rsid w:val="008647AB"/>
    <w:rsid w:val="0086480D"/>
    <w:rsid w:val="0086489A"/>
    <w:rsid w:val="00864AED"/>
    <w:rsid w:val="00865034"/>
    <w:rsid w:val="00865186"/>
    <w:rsid w:val="0086525E"/>
    <w:rsid w:val="00865C36"/>
    <w:rsid w:val="00865F1D"/>
    <w:rsid w:val="008661BE"/>
    <w:rsid w:val="0086632C"/>
    <w:rsid w:val="00866702"/>
    <w:rsid w:val="00866845"/>
    <w:rsid w:val="00866B9A"/>
    <w:rsid w:val="00866BFE"/>
    <w:rsid w:val="00866D0C"/>
    <w:rsid w:val="00866E4F"/>
    <w:rsid w:val="00867746"/>
    <w:rsid w:val="0086791E"/>
    <w:rsid w:val="008679B6"/>
    <w:rsid w:val="00867D9D"/>
    <w:rsid w:val="00867FF9"/>
    <w:rsid w:val="0087008A"/>
    <w:rsid w:val="008700B8"/>
    <w:rsid w:val="00870B00"/>
    <w:rsid w:val="00870B4C"/>
    <w:rsid w:val="00870D75"/>
    <w:rsid w:val="008711FA"/>
    <w:rsid w:val="00871491"/>
    <w:rsid w:val="008714A8"/>
    <w:rsid w:val="0087169B"/>
    <w:rsid w:val="008716A5"/>
    <w:rsid w:val="00871786"/>
    <w:rsid w:val="00871DE7"/>
    <w:rsid w:val="00871E98"/>
    <w:rsid w:val="008720D5"/>
    <w:rsid w:val="008722FB"/>
    <w:rsid w:val="00872907"/>
    <w:rsid w:val="00872D09"/>
    <w:rsid w:val="008730D8"/>
    <w:rsid w:val="008733C5"/>
    <w:rsid w:val="008734D7"/>
    <w:rsid w:val="00873540"/>
    <w:rsid w:val="00873790"/>
    <w:rsid w:val="00873897"/>
    <w:rsid w:val="008739D7"/>
    <w:rsid w:val="00873AA6"/>
    <w:rsid w:val="00873DE7"/>
    <w:rsid w:val="0087426E"/>
    <w:rsid w:val="0087433C"/>
    <w:rsid w:val="00874475"/>
    <w:rsid w:val="00875206"/>
    <w:rsid w:val="00875402"/>
    <w:rsid w:val="008757A6"/>
    <w:rsid w:val="00875DE8"/>
    <w:rsid w:val="00875E11"/>
    <w:rsid w:val="00876465"/>
    <w:rsid w:val="008765D6"/>
    <w:rsid w:val="008766A0"/>
    <w:rsid w:val="0087673F"/>
    <w:rsid w:val="0087676A"/>
    <w:rsid w:val="008768D9"/>
    <w:rsid w:val="00876BE3"/>
    <w:rsid w:val="00876EC8"/>
    <w:rsid w:val="00876FDA"/>
    <w:rsid w:val="00877279"/>
    <w:rsid w:val="008773D3"/>
    <w:rsid w:val="00877D4E"/>
    <w:rsid w:val="00877E68"/>
    <w:rsid w:val="00877F3C"/>
    <w:rsid w:val="00877F63"/>
    <w:rsid w:val="00877FE3"/>
    <w:rsid w:val="00880166"/>
    <w:rsid w:val="0088016E"/>
    <w:rsid w:val="008801F3"/>
    <w:rsid w:val="00880610"/>
    <w:rsid w:val="008808E5"/>
    <w:rsid w:val="00880C37"/>
    <w:rsid w:val="00880ECA"/>
    <w:rsid w:val="008810CF"/>
    <w:rsid w:val="00881451"/>
    <w:rsid w:val="0088145C"/>
    <w:rsid w:val="00881599"/>
    <w:rsid w:val="0088165F"/>
    <w:rsid w:val="0088188A"/>
    <w:rsid w:val="0088199C"/>
    <w:rsid w:val="008822D6"/>
    <w:rsid w:val="008824D8"/>
    <w:rsid w:val="00882524"/>
    <w:rsid w:val="008825A7"/>
    <w:rsid w:val="00882640"/>
    <w:rsid w:val="008827C5"/>
    <w:rsid w:val="00882B85"/>
    <w:rsid w:val="00882C61"/>
    <w:rsid w:val="00882C82"/>
    <w:rsid w:val="00882E0B"/>
    <w:rsid w:val="008831E9"/>
    <w:rsid w:val="0088343D"/>
    <w:rsid w:val="00883499"/>
    <w:rsid w:val="00883509"/>
    <w:rsid w:val="008836E2"/>
    <w:rsid w:val="00883A7F"/>
    <w:rsid w:val="00883A80"/>
    <w:rsid w:val="00883D22"/>
    <w:rsid w:val="00883D83"/>
    <w:rsid w:val="00883EBC"/>
    <w:rsid w:val="00883F83"/>
    <w:rsid w:val="008840A5"/>
    <w:rsid w:val="00884301"/>
    <w:rsid w:val="00884460"/>
    <w:rsid w:val="008846A8"/>
    <w:rsid w:val="00884752"/>
    <w:rsid w:val="00884FDA"/>
    <w:rsid w:val="008852D3"/>
    <w:rsid w:val="00885436"/>
    <w:rsid w:val="00885D86"/>
    <w:rsid w:val="00886060"/>
    <w:rsid w:val="008863CF"/>
    <w:rsid w:val="008866B3"/>
    <w:rsid w:val="00886849"/>
    <w:rsid w:val="00886907"/>
    <w:rsid w:val="00886B30"/>
    <w:rsid w:val="00886C50"/>
    <w:rsid w:val="0088709A"/>
    <w:rsid w:val="008870B4"/>
    <w:rsid w:val="008879CC"/>
    <w:rsid w:val="00887B19"/>
    <w:rsid w:val="00887B98"/>
    <w:rsid w:val="00887C65"/>
    <w:rsid w:val="00887D71"/>
    <w:rsid w:val="00887F60"/>
    <w:rsid w:val="008908D0"/>
    <w:rsid w:val="0089091E"/>
    <w:rsid w:val="00890A94"/>
    <w:rsid w:val="00890D69"/>
    <w:rsid w:val="00891537"/>
    <w:rsid w:val="0089163C"/>
    <w:rsid w:val="00891657"/>
    <w:rsid w:val="00891680"/>
    <w:rsid w:val="00891815"/>
    <w:rsid w:val="0089199E"/>
    <w:rsid w:val="00891DF4"/>
    <w:rsid w:val="00891F5C"/>
    <w:rsid w:val="0089253F"/>
    <w:rsid w:val="008925E6"/>
    <w:rsid w:val="0089269B"/>
    <w:rsid w:val="00892B74"/>
    <w:rsid w:val="00892DF6"/>
    <w:rsid w:val="00892E55"/>
    <w:rsid w:val="00892EB5"/>
    <w:rsid w:val="00892F32"/>
    <w:rsid w:val="00892F75"/>
    <w:rsid w:val="00892F77"/>
    <w:rsid w:val="00892F94"/>
    <w:rsid w:val="00892F97"/>
    <w:rsid w:val="0089363D"/>
    <w:rsid w:val="00893CED"/>
    <w:rsid w:val="0089427E"/>
    <w:rsid w:val="00894361"/>
    <w:rsid w:val="008947F5"/>
    <w:rsid w:val="008949BD"/>
    <w:rsid w:val="008949ED"/>
    <w:rsid w:val="00894A11"/>
    <w:rsid w:val="00894B0C"/>
    <w:rsid w:val="00894CFF"/>
    <w:rsid w:val="00894D09"/>
    <w:rsid w:val="00894D79"/>
    <w:rsid w:val="00894F6D"/>
    <w:rsid w:val="00894F96"/>
    <w:rsid w:val="00895022"/>
    <w:rsid w:val="0089502E"/>
    <w:rsid w:val="00895558"/>
    <w:rsid w:val="008957F0"/>
    <w:rsid w:val="00895813"/>
    <w:rsid w:val="00895897"/>
    <w:rsid w:val="008958A7"/>
    <w:rsid w:val="00895BEF"/>
    <w:rsid w:val="00895DCF"/>
    <w:rsid w:val="008966D4"/>
    <w:rsid w:val="00896B03"/>
    <w:rsid w:val="00896C20"/>
    <w:rsid w:val="00896C84"/>
    <w:rsid w:val="00896D10"/>
    <w:rsid w:val="008973C5"/>
    <w:rsid w:val="00897E1D"/>
    <w:rsid w:val="00897E8B"/>
    <w:rsid w:val="008A011D"/>
    <w:rsid w:val="008A0431"/>
    <w:rsid w:val="008A0462"/>
    <w:rsid w:val="008A0484"/>
    <w:rsid w:val="008A0539"/>
    <w:rsid w:val="008A0911"/>
    <w:rsid w:val="008A0977"/>
    <w:rsid w:val="008A0A4C"/>
    <w:rsid w:val="008A0A7A"/>
    <w:rsid w:val="008A0C48"/>
    <w:rsid w:val="008A0CC6"/>
    <w:rsid w:val="008A0CFF"/>
    <w:rsid w:val="008A0D70"/>
    <w:rsid w:val="008A14D8"/>
    <w:rsid w:val="008A177D"/>
    <w:rsid w:val="008A1C80"/>
    <w:rsid w:val="008A2141"/>
    <w:rsid w:val="008A2184"/>
    <w:rsid w:val="008A2282"/>
    <w:rsid w:val="008A243D"/>
    <w:rsid w:val="008A26E9"/>
    <w:rsid w:val="008A273B"/>
    <w:rsid w:val="008A2913"/>
    <w:rsid w:val="008A2A88"/>
    <w:rsid w:val="008A2C9D"/>
    <w:rsid w:val="008A2DDE"/>
    <w:rsid w:val="008A32C8"/>
    <w:rsid w:val="008A3571"/>
    <w:rsid w:val="008A3656"/>
    <w:rsid w:val="008A36B5"/>
    <w:rsid w:val="008A398B"/>
    <w:rsid w:val="008A39CE"/>
    <w:rsid w:val="008A3F67"/>
    <w:rsid w:val="008A3F7C"/>
    <w:rsid w:val="008A41D2"/>
    <w:rsid w:val="008A428F"/>
    <w:rsid w:val="008A445C"/>
    <w:rsid w:val="008A498F"/>
    <w:rsid w:val="008A4B81"/>
    <w:rsid w:val="008A4CC5"/>
    <w:rsid w:val="008A4D27"/>
    <w:rsid w:val="008A4E39"/>
    <w:rsid w:val="008A4EEE"/>
    <w:rsid w:val="008A5426"/>
    <w:rsid w:val="008A554A"/>
    <w:rsid w:val="008A5F6D"/>
    <w:rsid w:val="008A6225"/>
    <w:rsid w:val="008A6720"/>
    <w:rsid w:val="008A68A7"/>
    <w:rsid w:val="008A6954"/>
    <w:rsid w:val="008A6AE7"/>
    <w:rsid w:val="008A6B0A"/>
    <w:rsid w:val="008A6B88"/>
    <w:rsid w:val="008A6CE9"/>
    <w:rsid w:val="008A7071"/>
    <w:rsid w:val="008A765D"/>
    <w:rsid w:val="008A79DE"/>
    <w:rsid w:val="008A7AEF"/>
    <w:rsid w:val="008A7DCD"/>
    <w:rsid w:val="008A7E2B"/>
    <w:rsid w:val="008A7EB9"/>
    <w:rsid w:val="008B0098"/>
    <w:rsid w:val="008B07E1"/>
    <w:rsid w:val="008B0954"/>
    <w:rsid w:val="008B09C8"/>
    <w:rsid w:val="008B0CA7"/>
    <w:rsid w:val="008B0DED"/>
    <w:rsid w:val="008B155F"/>
    <w:rsid w:val="008B15D9"/>
    <w:rsid w:val="008B1C10"/>
    <w:rsid w:val="008B1CB1"/>
    <w:rsid w:val="008B1F19"/>
    <w:rsid w:val="008B225A"/>
    <w:rsid w:val="008B24A4"/>
    <w:rsid w:val="008B321A"/>
    <w:rsid w:val="008B34A0"/>
    <w:rsid w:val="008B3711"/>
    <w:rsid w:val="008B3951"/>
    <w:rsid w:val="008B3B74"/>
    <w:rsid w:val="008B3D3C"/>
    <w:rsid w:val="008B3E42"/>
    <w:rsid w:val="008B3F57"/>
    <w:rsid w:val="008B43F3"/>
    <w:rsid w:val="008B46D7"/>
    <w:rsid w:val="008B4927"/>
    <w:rsid w:val="008B4A06"/>
    <w:rsid w:val="008B4A69"/>
    <w:rsid w:val="008B4E75"/>
    <w:rsid w:val="008B4F60"/>
    <w:rsid w:val="008B5639"/>
    <w:rsid w:val="008B567F"/>
    <w:rsid w:val="008B5E20"/>
    <w:rsid w:val="008B5EDF"/>
    <w:rsid w:val="008B5FB4"/>
    <w:rsid w:val="008B61AF"/>
    <w:rsid w:val="008B61FB"/>
    <w:rsid w:val="008B6470"/>
    <w:rsid w:val="008B66C1"/>
    <w:rsid w:val="008B69D0"/>
    <w:rsid w:val="008B6A52"/>
    <w:rsid w:val="008B717F"/>
    <w:rsid w:val="008B7503"/>
    <w:rsid w:val="008B757B"/>
    <w:rsid w:val="008B7973"/>
    <w:rsid w:val="008B7AFA"/>
    <w:rsid w:val="008C0009"/>
    <w:rsid w:val="008C0335"/>
    <w:rsid w:val="008C0433"/>
    <w:rsid w:val="008C054D"/>
    <w:rsid w:val="008C05C7"/>
    <w:rsid w:val="008C0AD2"/>
    <w:rsid w:val="008C0D42"/>
    <w:rsid w:val="008C0E51"/>
    <w:rsid w:val="008C107A"/>
    <w:rsid w:val="008C117F"/>
    <w:rsid w:val="008C1B4A"/>
    <w:rsid w:val="008C1DF5"/>
    <w:rsid w:val="008C1E03"/>
    <w:rsid w:val="008C1F58"/>
    <w:rsid w:val="008C2293"/>
    <w:rsid w:val="008C23F6"/>
    <w:rsid w:val="008C24BF"/>
    <w:rsid w:val="008C29DA"/>
    <w:rsid w:val="008C2CB7"/>
    <w:rsid w:val="008C3268"/>
    <w:rsid w:val="008C351A"/>
    <w:rsid w:val="008C358E"/>
    <w:rsid w:val="008C3771"/>
    <w:rsid w:val="008C3A10"/>
    <w:rsid w:val="008C3C00"/>
    <w:rsid w:val="008C3E33"/>
    <w:rsid w:val="008C3F20"/>
    <w:rsid w:val="008C3FAE"/>
    <w:rsid w:val="008C42DA"/>
    <w:rsid w:val="008C43E9"/>
    <w:rsid w:val="008C450D"/>
    <w:rsid w:val="008C4822"/>
    <w:rsid w:val="008C5153"/>
    <w:rsid w:val="008C5190"/>
    <w:rsid w:val="008C5B22"/>
    <w:rsid w:val="008C5C1E"/>
    <w:rsid w:val="008C60C7"/>
    <w:rsid w:val="008C6187"/>
    <w:rsid w:val="008C651F"/>
    <w:rsid w:val="008C6524"/>
    <w:rsid w:val="008C6645"/>
    <w:rsid w:val="008C6972"/>
    <w:rsid w:val="008C6A7C"/>
    <w:rsid w:val="008C6B5A"/>
    <w:rsid w:val="008C6D63"/>
    <w:rsid w:val="008C6E74"/>
    <w:rsid w:val="008C6EEF"/>
    <w:rsid w:val="008C75FD"/>
    <w:rsid w:val="008C7755"/>
    <w:rsid w:val="008C7AC2"/>
    <w:rsid w:val="008D06D7"/>
    <w:rsid w:val="008D0B88"/>
    <w:rsid w:val="008D0B93"/>
    <w:rsid w:val="008D0CC9"/>
    <w:rsid w:val="008D0F2C"/>
    <w:rsid w:val="008D1072"/>
    <w:rsid w:val="008D1137"/>
    <w:rsid w:val="008D124D"/>
    <w:rsid w:val="008D16FD"/>
    <w:rsid w:val="008D1753"/>
    <w:rsid w:val="008D17DC"/>
    <w:rsid w:val="008D1C9D"/>
    <w:rsid w:val="008D1CEA"/>
    <w:rsid w:val="008D1D79"/>
    <w:rsid w:val="008D1E79"/>
    <w:rsid w:val="008D28A8"/>
    <w:rsid w:val="008D2A9C"/>
    <w:rsid w:val="008D2AD3"/>
    <w:rsid w:val="008D2EA9"/>
    <w:rsid w:val="008D2EE6"/>
    <w:rsid w:val="008D3107"/>
    <w:rsid w:val="008D3172"/>
    <w:rsid w:val="008D3621"/>
    <w:rsid w:val="008D3677"/>
    <w:rsid w:val="008D38BE"/>
    <w:rsid w:val="008D39DF"/>
    <w:rsid w:val="008D3CC5"/>
    <w:rsid w:val="008D3FB3"/>
    <w:rsid w:val="008D4103"/>
    <w:rsid w:val="008D412F"/>
    <w:rsid w:val="008D4242"/>
    <w:rsid w:val="008D44E4"/>
    <w:rsid w:val="008D45FE"/>
    <w:rsid w:val="008D47FC"/>
    <w:rsid w:val="008D4927"/>
    <w:rsid w:val="008D4EB4"/>
    <w:rsid w:val="008D595D"/>
    <w:rsid w:val="008D5B73"/>
    <w:rsid w:val="008D5BC5"/>
    <w:rsid w:val="008D5DCD"/>
    <w:rsid w:val="008D5FDF"/>
    <w:rsid w:val="008D6471"/>
    <w:rsid w:val="008D65B0"/>
    <w:rsid w:val="008D6931"/>
    <w:rsid w:val="008D6C0F"/>
    <w:rsid w:val="008D7555"/>
    <w:rsid w:val="008D7759"/>
    <w:rsid w:val="008E017A"/>
    <w:rsid w:val="008E0214"/>
    <w:rsid w:val="008E0407"/>
    <w:rsid w:val="008E0443"/>
    <w:rsid w:val="008E04DC"/>
    <w:rsid w:val="008E07BF"/>
    <w:rsid w:val="008E112C"/>
    <w:rsid w:val="008E1270"/>
    <w:rsid w:val="008E12A6"/>
    <w:rsid w:val="008E1336"/>
    <w:rsid w:val="008E1388"/>
    <w:rsid w:val="008E13BD"/>
    <w:rsid w:val="008E1401"/>
    <w:rsid w:val="008E163E"/>
    <w:rsid w:val="008E163F"/>
    <w:rsid w:val="008E1720"/>
    <w:rsid w:val="008E17B4"/>
    <w:rsid w:val="008E17E0"/>
    <w:rsid w:val="008E187F"/>
    <w:rsid w:val="008E1945"/>
    <w:rsid w:val="008E1F87"/>
    <w:rsid w:val="008E21C9"/>
    <w:rsid w:val="008E23B7"/>
    <w:rsid w:val="008E2584"/>
    <w:rsid w:val="008E260A"/>
    <w:rsid w:val="008E29B1"/>
    <w:rsid w:val="008E2C42"/>
    <w:rsid w:val="008E30B5"/>
    <w:rsid w:val="008E32A4"/>
    <w:rsid w:val="008E33F7"/>
    <w:rsid w:val="008E3959"/>
    <w:rsid w:val="008E39D5"/>
    <w:rsid w:val="008E3CEC"/>
    <w:rsid w:val="008E41A9"/>
    <w:rsid w:val="008E41DD"/>
    <w:rsid w:val="008E41F6"/>
    <w:rsid w:val="008E458C"/>
    <w:rsid w:val="008E472F"/>
    <w:rsid w:val="008E4D65"/>
    <w:rsid w:val="008E4F74"/>
    <w:rsid w:val="008E519B"/>
    <w:rsid w:val="008E5514"/>
    <w:rsid w:val="008E554C"/>
    <w:rsid w:val="008E581B"/>
    <w:rsid w:val="008E5B48"/>
    <w:rsid w:val="008E5E37"/>
    <w:rsid w:val="008E6157"/>
    <w:rsid w:val="008E6252"/>
    <w:rsid w:val="008E64AC"/>
    <w:rsid w:val="008E6725"/>
    <w:rsid w:val="008E694B"/>
    <w:rsid w:val="008E6A92"/>
    <w:rsid w:val="008E72E2"/>
    <w:rsid w:val="008E7590"/>
    <w:rsid w:val="008E7946"/>
    <w:rsid w:val="008E799E"/>
    <w:rsid w:val="008E7AA1"/>
    <w:rsid w:val="008F03DB"/>
    <w:rsid w:val="008F04A8"/>
    <w:rsid w:val="008F0D4E"/>
    <w:rsid w:val="008F0F4A"/>
    <w:rsid w:val="008F103C"/>
    <w:rsid w:val="008F169D"/>
    <w:rsid w:val="008F1B18"/>
    <w:rsid w:val="008F211B"/>
    <w:rsid w:val="008F26C4"/>
    <w:rsid w:val="008F2BD4"/>
    <w:rsid w:val="008F2C71"/>
    <w:rsid w:val="008F2CB9"/>
    <w:rsid w:val="008F2D8B"/>
    <w:rsid w:val="008F3124"/>
    <w:rsid w:val="008F34FB"/>
    <w:rsid w:val="008F3526"/>
    <w:rsid w:val="008F3656"/>
    <w:rsid w:val="008F3663"/>
    <w:rsid w:val="008F389A"/>
    <w:rsid w:val="008F39A6"/>
    <w:rsid w:val="008F39E6"/>
    <w:rsid w:val="008F39ED"/>
    <w:rsid w:val="008F3AD5"/>
    <w:rsid w:val="008F3CF5"/>
    <w:rsid w:val="008F45AB"/>
    <w:rsid w:val="008F49CA"/>
    <w:rsid w:val="008F4B7B"/>
    <w:rsid w:val="008F4F19"/>
    <w:rsid w:val="008F4F21"/>
    <w:rsid w:val="008F50D6"/>
    <w:rsid w:val="008F52E3"/>
    <w:rsid w:val="008F555D"/>
    <w:rsid w:val="008F59E3"/>
    <w:rsid w:val="008F5A71"/>
    <w:rsid w:val="008F5FB9"/>
    <w:rsid w:val="008F60EA"/>
    <w:rsid w:val="008F67AE"/>
    <w:rsid w:val="008F67D1"/>
    <w:rsid w:val="008F69ED"/>
    <w:rsid w:val="008F6D0C"/>
    <w:rsid w:val="008F6FEA"/>
    <w:rsid w:val="008F70E8"/>
    <w:rsid w:val="008F7114"/>
    <w:rsid w:val="008F73BC"/>
    <w:rsid w:val="008F7686"/>
    <w:rsid w:val="008F77EF"/>
    <w:rsid w:val="008F7955"/>
    <w:rsid w:val="008F7DBF"/>
    <w:rsid w:val="0090026E"/>
    <w:rsid w:val="0090030D"/>
    <w:rsid w:val="009006E3"/>
    <w:rsid w:val="0090096C"/>
    <w:rsid w:val="00900DD8"/>
    <w:rsid w:val="00901089"/>
    <w:rsid w:val="00901141"/>
    <w:rsid w:val="00901211"/>
    <w:rsid w:val="009012DD"/>
    <w:rsid w:val="0090131C"/>
    <w:rsid w:val="00901354"/>
    <w:rsid w:val="0090172D"/>
    <w:rsid w:val="00901BA7"/>
    <w:rsid w:val="0090207C"/>
    <w:rsid w:val="0090232A"/>
    <w:rsid w:val="009024E1"/>
    <w:rsid w:val="009025C1"/>
    <w:rsid w:val="00902965"/>
    <w:rsid w:val="00902998"/>
    <w:rsid w:val="00902C38"/>
    <w:rsid w:val="00902FD4"/>
    <w:rsid w:val="00903042"/>
    <w:rsid w:val="0090349A"/>
    <w:rsid w:val="009034D2"/>
    <w:rsid w:val="00903639"/>
    <w:rsid w:val="0090371B"/>
    <w:rsid w:val="009039E9"/>
    <w:rsid w:val="00903B48"/>
    <w:rsid w:val="00904442"/>
    <w:rsid w:val="009045A5"/>
    <w:rsid w:val="009045E8"/>
    <w:rsid w:val="00904780"/>
    <w:rsid w:val="00904A6C"/>
    <w:rsid w:val="00904C1E"/>
    <w:rsid w:val="00904CB0"/>
    <w:rsid w:val="00904E65"/>
    <w:rsid w:val="00904EAC"/>
    <w:rsid w:val="00904FB0"/>
    <w:rsid w:val="009050F0"/>
    <w:rsid w:val="009051F0"/>
    <w:rsid w:val="009054C6"/>
    <w:rsid w:val="00905679"/>
    <w:rsid w:val="009056F0"/>
    <w:rsid w:val="0090599F"/>
    <w:rsid w:val="00905B20"/>
    <w:rsid w:val="00905E35"/>
    <w:rsid w:val="0090660A"/>
    <w:rsid w:val="00906B54"/>
    <w:rsid w:val="00906DD4"/>
    <w:rsid w:val="00906DF5"/>
    <w:rsid w:val="009071D6"/>
    <w:rsid w:val="0090720A"/>
    <w:rsid w:val="009072ED"/>
    <w:rsid w:val="00907B6C"/>
    <w:rsid w:val="009107B5"/>
    <w:rsid w:val="00910865"/>
    <w:rsid w:val="009109DF"/>
    <w:rsid w:val="00910A96"/>
    <w:rsid w:val="00910BC5"/>
    <w:rsid w:val="009111BA"/>
    <w:rsid w:val="009114D5"/>
    <w:rsid w:val="009115E5"/>
    <w:rsid w:val="00911634"/>
    <w:rsid w:val="00911891"/>
    <w:rsid w:val="00911B08"/>
    <w:rsid w:val="00911D45"/>
    <w:rsid w:val="009121F4"/>
    <w:rsid w:val="0091231B"/>
    <w:rsid w:val="0091245F"/>
    <w:rsid w:val="0091278F"/>
    <w:rsid w:val="00912AB6"/>
    <w:rsid w:val="00912D3F"/>
    <w:rsid w:val="00912E06"/>
    <w:rsid w:val="00912FDB"/>
    <w:rsid w:val="00913242"/>
    <w:rsid w:val="00913760"/>
    <w:rsid w:val="00914CCF"/>
    <w:rsid w:val="00914F94"/>
    <w:rsid w:val="0091523B"/>
    <w:rsid w:val="00915282"/>
    <w:rsid w:val="0091547A"/>
    <w:rsid w:val="009154D0"/>
    <w:rsid w:val="00915748"/>
    <w:rsid w:val="009158B3"/>
    <w:rsid w:val="00915A95"/>
    <w:rsid w:val="00915C6C"/>
    <w:rsid w:val="00916326"/>
    <w:rsid w:val="00916362"/>
    <w:rsid w:val="00916680"/>
    <w:rsid w:val="009169A0"/>
    <w:rsid w:val="00916D30"/>
    <w:rsid w:val="00916DCE"/>
    <w:rsid w:val="0091720E"/>
    <w:rsid w:val="009173CB"/>
    <w:rsid w:val="009175CE"/>
    <w:rsid w:val="00917C33"/>
    <w:rsid w:val="00920072"/>
    <w:rsid w:val="00920133"/>
    <w:rsid w:val="009202A1"/>
    <w:rsid w:val="009207C4"/>
    <w:rsid w:val="009207CF"/>
    <w:rsid w:val="009209FC"/>
    <w:rsid w:val="00920A92"/>
    <w:rsid w:val="00920BD7"/>
    <w:rsid w:val="009212E8"/>
    <w:rsid w:val="0092137B"/>
    <w:rsid w:val="009215E2"/>
    <w:rsid w:val="009217A8"/>
    <w:rsid w:val="00921814"/>
    <w:rsid w:val="00921945"/>
    <w:rsid w:val="00921C4C"/>
    <w:rsid w:val="009220F2"/>
    <w:rsid w:val="00922527"/>
    <w:rsid w:val="00922713"/>
    <w:rsid w:val="009227C3"/>
    <w:rsid w:val="009228AE"/>
    <w:rsid w:val="00922EF6"/>
    <w:rsid w:val="00922F71"/>
    <w:rsid w:val="009234CC"/>
    <w:rsid w:val="0092360A"/>
    <w:rsid w:val="009237A9"/>
    <w:rsid w:val="00923D70"/>
    <w:rsid w:val="00923F5E"/>
    <w:rsid w:val="00923FD4"/>
    <w:rsid w:val="00924121"/>
    <w:rsid w:val="0092419E"/>
    <w:rsid w:val="009241F2"/>
    <w:rsid w:val="0092426E"/>
    <w:rsid w:val="00924701"/>
    <w:rsid w:val="00924B8B"/>
    <w:rsid w:val="00924E85"/>
    <w:rsid w:val="00924F99"/>
    <w:rsid w:val="00925288"/>
    <w:rsid w:val="009252F1"/>
    <w:rsid w:val="00925735"/>
    <w:rsid w:val="0092576C"/>
    <w:rsid w:val="0092594A"/>
    <w:rsid w:val="00925B42"/>
    <w:rsid w:val="00925BD5"/>
    <w:rsid w:val="00925E16"/>
    <w:rsid w:val="00926131"/>
    <w:rsid w:val="00926198"/>
    <w:rsid w:val="0092643B"/>
    <w:rsid w:val="00926637"/>
    <w:rsid w:val="00926640"/>
    <w:rsid w:val="00926722"/>
    <w:rsid w:val="00926856"/>
    <w:rsid w:val="009269E8"/>
    <w:rsid w:val="00926B72"/>
    <w:rsid w:val="00926CF7"/>
    <w:rsid w:val="00926E49"/>
    <w:rsid w:val="0092710D"/>
    <w:rsid w:val="00927125"/>
    <w:rsid w:val="009272F2"/>
    <w:rsid w:val="00927385"/>
    <w:rsid w:val="00927809"/>
    <w:rsid w:val="00927A07"/>
    <w:rsid w:val="00927B1E"/>
    <w:rsid w:val="00927B77"/>
    <w:rsid w:val="00927BAD"/>
    <w:rsid w:val="00927E61"/>
    <w:rsid w:val="00927F9C"/>
    <w:rsid w:val="00930505"/>
    <w:rsid w:val="009308BF"/>
    <w:rsid w:val="00930B4A"/>
    <w:rsid w:val="00930E5B"/>
    <w:rsid w:val="00931590"/>
    <w:rsid w:val="009315F2"/>
    <w:rsid w:val="00931632"/>
    <w:rsid w:val="009316B4"/>
    <w:rsid w:val="009318E6"/>
    <w:rsid w:val="009319F6"/>
    <w:rsid w:val="00931A2C"/>
    <w:rsid w:val="00931BB5"/>
    <w:rsid w:val="00931D68"/>
    <w:rsid w:val="00931E36"/>
    <w:rsid w:val="00931F85"/>
    <w:rsid w:val="00932208"/>
    <w:rsid w:val="009322DD"/>
    <w:rsid w:val="0093244D"/>
    <w:rsid w:val="00932469"/>
    <w:rsid w:val="00932566"/>
    <w:rsid w:val="009327D0"/>
    <w:rsid w:val="00932D98"/>
    <w:rsid w:val="00932F01"/>
    <w:rsid w:val="009333E8"/>
    <w:rsid w:val="0093346B"/>
    <w:rsid w:val="0093348C"/>
    <w:rsid w:val="009337B4"/>
    <w:rsid w:val="00933969"/>
    <w:rsid w:val="00933AD0"/>
    <w:rsid w:val="00933D96"/>
    <w:rsid w:val="00933DEA"/>
    <w:rsid w:val="009340D4"/>
    <w:rsid w:val="00934130"/>
    <w:rsid w:val="009344D6"/>
    <w:rsid w:val="00934A0F"/>
    <w:rsid w:val="009354A6"/>
    <w:rsid w:val="00935507"/>
    <w:rsid w:val="009355F9"/>
    <w:rsid w:val="0093570C"/>
    <w:rsid w:val="00935BC7"/>
    <w:rsid w:val="00935C5B"/>
    <w:rsid w:val="00935F2D"/>
    <w:rsid w:val="00935FD7"/>
    <w:rsid w:val="00936237"/>
    <w:rsid w:val="00936568"/>
    <w:rsid w:val="00936978"/>
    <w:rsid w:val="00936C48"/>
    <w:rsid w:val="00936DEA"/>
    <w:rsid w:val="00936E6B"/>
    <w:rsid w:val="009370EC"/>
    <w:rsid w:val="00937249"/>
    <w:rsid w:val="00937338"/>
    <w:rsid w:val="00937487"/>
    <w:rsid w:val="009376C5"/>
    <w:rsid w:val="00937857"/>
    <w:rsid w:val="00937A9C"/>
    <w:rsid w:val="00937C37"/>
    <w:rsid w:val="00937CFF"/>
    <w:rsid w:val="009404C8"/>
    <w:rsid w:val="0094058B"/>
    <w:rsid w:val="00940724"/>
    <w:rsid w:val="009408D9"/>
    <w:rsid w:val="00940947"/>
    <w:rsid w:val="00940984"/>
    <w:rsid w:val="00940B46"/>
    <w:rsid w:val="00940B96"/>
    <w:rsid w:val="00940C2B"/>
    <w:rsid w:val="00940C6D"/>
    <w:rsid w:val="00940DA2"/>
    <w:rsid w:val="00940E50"/>
    <w:rsid w:val="00941053"/>
    <w:rsid w:val="0094126B"/>
    <w:rsid w:val="0094137A"/>
    <w:rsid w:val="0094162C"/>
    <w:rsid w:val="00941774"/>
    <w:rsid w:val="00941AF2"/>
    <w:rsid w:val="00941CD9"/>
    <w:rsid w:val="00941D45"/>
    <w:rsid w:val="00941EB5"/>
    <w:rsid w:val="00942544"/>
    <w:rsid w:val="009425F0"/>
    <w:rsid w:val="00942AD0"/>
    <w:rsid w:val="00942B03"/>
    <w:rsid w:val="009431B9"/>
    <w:rsid w:val="009437C1"/>
    <w:rsid w:val="009439E6"/>
    <w:rsid w:val="00943C0E"/>
    <w:rsid w:val="00943D2F"/>
    <w:rsid w:val="00943F90"/>
    <w:rsid w:val="0094433C"/>
    <w:rsid w:val="0094456C"/>
    <w:rsid w:val="00944596"/>
    <w:rsid w:val="00944AE7"/>
    <w:rsid w:val="00944B6C"/>
    <w:rsid w:val="00944C08"/>
    <w:rsid w:val="00944C86"/>
    <w:rsid w:val="00944EDB"/>
    <w:rsid w:val="00944F94"/>
    <w:rsid w:val="00945042"/>
    <w:rsid w:val="00945242"/>
    <w:rsid w:val="009452F8"/>
    <w:rsid w:val="0094544A"/>
    <w:rsid w:val="00945566"/>
    <w:rsid w:val="00945891"/>
    <w:rsid w:val="00945D91"/>
    <w:rsid w:val="009461E8"/>
    <w:rsid w:val="0094686F"/>
    <w:rsid w:val="009468B5"/>
    <w:rsid w:val="009469BC"/>
    <w:rsid w:val="00946A5E"/>
    <w:rsid w:val="00946D74"/>
    <w:rsid w:val="00946DFB"/>
    <w:rsid w:val="00946E42"/>
    <w:rsid w:val="00947309"/>
    <w:rsid w:val="00947A36"/>
    <w:rsid w:val="00947A76"/>
    <w:rsid w:val="00947F6F"/>
    <w:rsid w:val="0095030B"/>
    <w:rsid w:val="009503EF"/>
    <w:rsid w:val="00950693"/>
    <w:rsid w:val="00950948"/>
    <w:rsid w:val="00950D0B"/>
    <w:rsid w:val="00951215"/>
    <w:rsid w:val="0095176B"/>
    <w:rsid w:val="00951887"/>
    <w:rsid w:val="00951CED"/>
    <w:rsid w:val="00951F5B"/>
    <w:rsid w:val="009520B6"/>
    <w:rsid w:val="00952217"/>
    <w:rsid w:val="00952609"/>
    <w:rsid w:val="0095279F"/>
    <w:rsid w:val="00952BC7"/>
    <w:rsid w:val="00952E09"/>
    <w:rsid w:val="00952EC4"/>
    <w:rsid w:val="00952FA0"/>
    <w:rsid w:val="00953586"/>
    <w:rsid w:val="00953B0E"/>
    <w:rsid w:val="009540CB"/>
    <w:rsid w:val="009542EC"/>
    <w:rsid w:val="00954717"/>
    <w:rsid w:val="009547BA"/>
    <w:rsid w:val="00954868"/>
    <w:rsid w:val="0095491A"/>
    <w:rsid w:val="00954E54"/>
    <w:rsid w:val="00954FFD"/>
    <w:rsid w:val="0095502F"/>
    <w:rsid w:val="00955C60"/>
    <w:rsid w:val="00955FA9"/>
    <w:rsid w:val="009560B3"/>
    <w:rsid w:val="0095619E"/>
    <w:rsid w:val="009561C3"/>
    <w:rsid w:val="0095623C"/>
    <w:rsid w:val="009562D4"/>
    <w:rsid w:val="00956314"/>
    <w:rsid w:val="0095653D"/>
    <w:rsid w:val="0095671F"/>
    <w:rsid w:val="009567D7"/>
    <w:rsid w:val="009569B1"/>
    <w:rsid w:val="00956D26"/>
    <w:rsid w:val="00957649"/>
    <w:rsid w:val="009578FD"/>
    <w:rsid w:val="00957992"/>
    <w:rsid w:val="00957A40"/>
    <w:rsid w:val="00957ADA"/>
    <w:rsid w:val="00957EB0"/>
    <w:rsid w:val="00957FD5"/>
    <w:rsid w:val="00957FDC"/>
    <w:rsid w:val="00960226"/>
    <w:rsid w:val="00960565"/>
    <w:rsid w:val="009608AC"/>
    <w:rsid w:val="00960D60"/>
    <w:rsid w:val="00960EB5"/>
    <w:rsid w:val="00960F69"/>
    <w:rsid w:val="00961086"/>
    <w:rsid w:val="00961132"/>
    <w:rsid w:val="009611CA"/>
    <w:rsid w:val="00961254"/>
    <w:rsid w:val="009614C9"/>
    <w:rsid w:val="00961851"/>
    <w:rsid w:val="00961E21"/>
    <w:rsid w:val="00961F93"/>
    <w:rsid w:val="00961FC7"/>
    <w:rsid w:val="009620AE"/>
    <w:rsid w:val="00962175"/>
    <w:rsid w:val="00962349"/>
    <w:rsid w:val="0096249F"/>
    <w:rsid w:val="009628AF"/>
    <w:rsid w:val="0096299F"/>
    <w:rsid w:val="00962A7A"/>
    <w:rsid w:val="00962B3A"/>
    <w:rsid w:val="00962D34"/>
    <w:rsid w:val="00963060"/>
    <w:rsid w:val="0096308F"/>
    <w:rsid w:val="00963118"/>
    <w:rsid w:val="00963AAA"/>
    <w:rsid w:val="00963CBF"/>
    <w:rsid w:val="00963DAE"/>
    <w:rsid w:val="00963DBB"/>
    <w:rsid w:val="00963E2A"/>
    <w:rsid w:val="0096412C"/>
    <w:rsid w:val="009643C1"/>
    <w:rsid w:val="009643DA"/>
    <w:rsid w:val="0096465C"/>
    <w:rsid w:val="00964F08"/>
    <w:rsid w:val="00965F53"/>
    <w:rsid w:val="00966446"/>
    <w:rsid w:val="0096656D"/>
    <w:rsid w:val="0096678F"/>
    <w:rsid w:val="00966988"/>
    <w:rsid w:val="00966CA9"/>
    <w:rsid w:val="00966CC4"/>
    <w:rsid w:val="00966CF4"/>
    <w:rsid w:val="00966F51"/>
    <w:rsid w:val="00966FB1"/>
    <w:rsid w:val="009670B9"/>
    <w:rsid w:val="009671C9"/>
    <w:rsid w:val="00967269"/>
    <w:rsid w:val="00967388"/>
    <w:rsid w:val="009673F8"/>
    <w:rsid w:val="0096743B"/>
    <w:rsid w:val="00967499"/>
    <w:rsid w:val="0096749F"/>
    <w:rsid w:val="00967756"/>
    <w:rsid w:val="00967836"/>
    <w:rsid w:val="0096783C"/>
    <w:rsid w:val="00967BD8"/>
    <w:rsid w:val="00967CB6"/>
    <w:rsid w:val="00967CB9"/>
    <w:rsid w:val="00967E8A"/>
    <w:rsid w:val="00970040"/>
    <w:rsid w:val="009700A4"/>
    <w:rsid w:val="009702C0"/>
    <w:rsid w:val="00970455"/>
    <w:rsid w:val="00970552"/>
    <w:rsid w:val="00970715"/>
    <w:rsid w:val="00970842"/>
    <w:rsid w:val="00970D05"/>
    <w:rsid w:val="00970DF3"/>
    <w:rsid w:val="00971374"/>
    <w:rsid w:val="009718C2"/>
    <w:rsid w:val="00971A7B"/>
    <w:rsid w:val="00971B13"/>
    <w:rsid w:val="00971D0A"/>
    <w:rsid w:val="00971D38"/>
    <w:rsid w:val="00971DC1"/>
    <w:rsid w:val="00971DC9"/>
    <w:rsid w:val="00971E65"/>
    <w:rsid w:val="00971E6F"/>
    <w:rsid w:val="009721AA"/>
    <w:rsid w:val="00972AF8"/>
    <w:rsid w:val="00972AFA"/>
    <w:rsid w:val="00972C7F"/>
    <w:rsid w:val="00972EB3"/>
    <w:rsid w:val="00973017"/>
    <w:rsid w:val="009738C5"/>
    <w:rsid w:val="009738F8"/>
    <w:rsid w:val="00973A3B"/>
    <w:rsid w:val="00973FBC"/>
    <w:rsid w:val="00974034"/>
    <w:rsid w:val="00974445"/>
    <w:rsid w:val="00974579"/>
    <w:rsid w:val="0097480F"/>
    <w:rsid w:val="00974830"/>
    <w:rsid w:val="00974A55"/>
    <w:rsid w:val="00974F33"/>
    <w:rsid w:val="00974FBB"/>
    <w:rsid w:val="00974FF0"/>
    <w:rsid w:val="009750BA"/>
    <w:rsid w:val="0097536A"/>
    <w:rsid w:val="00975385"/>
    <w:rsid w:val="009753A6"/>
    <w:rsid w:val="00975467"/>
    <w:rsid w:val="00975643"/>
    <w:rsid w:val="009756CF"/>
    <w:rsid w:val="009756DE"/>
    <w:rsid w:val="0097576A"/>
    <w:rsid w:val="0097616E"/>
    <w:rsid w:val="00976498"/>
    <w:rsid w:val="0097670B"/>
    <w:rsid w:val="00976858"/>
    <w:rsid w:val="00976CC6"/>
    <w:rsid w:val="00977165"/>
    <w:rsid w:val="009771F3"/>
    <w:rsid w:val="00977475"/>
    <w:rsid w:val="009775CD"/>
    <w:rsid w:val="00977601"/>
    <w:rsid w:val="009776CD"/>
    <w:rsid w:val="0097778F"/>
    <w:rsid w:val="00977AC9"/>
    <w:rsid w:val="00977AE5"/>
    <w:rsid w:val="00977C3D"/>
    <w:rsid w:val="00977D30"/>
    <w:rsid w:val="00977DF2"/>
    <w:rsid w:val="00980173"/>
    <w:rsid w:val="009802F8"/>
    <w:rsid w:val="009804F1"/>
    <w:rsid w:val="00980B53"/>
    <w:rsid w:val="00980C85"/>
    <w:rsid w:val="00980DB7"/>
    <w:rsid w:val="00980E65"/>
    <w:rsid w:val="00980FC2"/>
    <w:rsid w:val="00981130"/>
    <w:rsid w:val="00981223"/>
    <w:rsid w:val="009814A2"/>
    <w:rsid w:val="00982114"/>
    <w:rsid w:val="009822BD"/>
    <w:rsid w:val="00982604"/>
    <w:rsid w:val="00982979"/>
    <w:rsid w:val="00982CBC"/>
    <w:rsid w:val="00982F36"/>
    <w:rsid w:val="009830FC"/>
    <w:rsid w:val="00983170"/>
    <w:rsid w:val="00983295"/>
    <w:rsid w:val="009832D0"/>
    <w:rsid w:val="0098335C"/>
    <w:rsid w:val="00983564"/>
    <w:rsid w:val="0098383C"/>
    <w:rsid w:val="00983902"/>
    <w:rsid w:val="00983C69"/>
    <w:rsid w:val="00983FDF"/>
    <w:rsid w:val="00983FFE"/>
    <w:rsid w:val="0098408B"/>
    <w:rsid w:val="0098433F"/>
    <w:rsid w:val="009845F5"/>
    <w:rsid w:val="00984788"/>
    <w:rsid w:val="00985826"/>
    <w:rsid w:val="009858F4"/>
    <w:rsid w:val="00985B31"/>
    <w:rsid w:val="00985CA2"/>
    <w:rsid w:val="00985E87"/>
    <w:rsid w:val="009863AB"/>
    <w:rsid w:val="00986500"/>
    <w:rsid w:val="0098657B"/>
    <w:rsid w:val="00986654"/>
    <w:rsid w:val="009866A1"/>
    <w:rsid w:val="00986946"/>
    <w:rsid w:val="009874F8"/>
    <w:rsid w:val="0098766D"/>
    <w:rsid w:val="00987831"/>
    <w:rsid w:val="00987850"/>
    <w:rsid w:val="00987C6A"/>
    <w:rsid w:val="00987E79"/>
    <w:rsid w:val="00987FA9"/>
    <w:rsid w:val="00987FDF"/>
    <w:rsid w:val="00990409"/>
    <w:rsid w:val="00990503"/>
    <w:rsid w:val="00990A57"/>
    <w:rsid w:val="00990D90"/>
    <w:rsid w:val="009912C8"/>
    <w:rsid w:val="009912E3"/>
    <w:rsid w:val="00991789"/>
    <w:rsid w:val="009919FA"/>
    <w:rsid w:val="00991B94"/>
    <w:rsid w:val="00991BDE"/>
    <w:rsid w:val="00991DF4"/>
    <w:rsid w:val="009921CF"/>
    <w:rsid w:val="009922FB"/>
    <w:rsid w:val="0099245F"/>
    <w:rsid w:val="009926C8"/>
    <w:rsid w:val="00992A81"/>
    <w:rsid w:val="00992B9C"/>
    <w:rsid w:val="00992D73"/>
    <w:rsid w:val="009931D9"/>
    <w:rsid w:val="00993298"/>
    <w:rsid w:val="009932E8"/>
    <w:rsid w:val="009933EE"/>
    <w:rsid w:val="009934E7"/>
    <w:rsid w:val="00993BA9"/>
    <w:rsid w:val="00993E58"/>
    <w:rsid w:val="00994165"/>
    <w:rsid w:val="009943D5"/>
    <w:rsid w:val="00994563"/>
    <w:rsid w:val="00994863"/>
    <w:rsid w:val="00994B26"/>
    <w:rsid w:val="00994BDC"/>
    <w:rsid w:val="009950D3"/>
    <w:rsid w:val="0099561C"/>
    <w:rsid w:val="0099600A"/>
    <w:rsid w:val="0099618F"/>
    <w:rsid w:val="00996212"/>
    <w:rsid w:val="0099667E"/>
    <w:rsid w:val="009966AD"/>
    <w:rsid w:val="009966D6"/>
    <w:rsid w:val="009967ED"/>
    <w:rsid w:val="00996E52"/>
    <w:rsid w:val="00996F5F"/>
    <w:rsid w:val="0099701B"/>
    <w:rsid w:val="009971EC"/>
    <w:rsid w:val="00997900"/>
    <w:rsid w:val="00997BF8"/>
    <w:rsid w:val="00997CBC"/>
    <w:rsid w:val="00997DCA"/>
    <w:rsid w:val="00997E79"/>
    <w:rsid w:val="00997EAA"/>
    <w:rsid w:val="00997FC8"/>
    <w:rsid w:val="009A0063"/>
    <w:rsid w:val="009A0238"/>
    <w:rsid w:val="009A0280"/>
    <w:rsid w:val="009A02A2"/>
    <w:rsid w:val="009A0369"/>
    <w:rsid w:val="009A069E"/>
    <w:rsid w:val="009A0C6E"/>
    <w:rsid w:val="009A0D71"/>
    <w:rsid w:val="009A0F3B"/>
    <w:rsid w:val="009A1132"/>
    <w:rsid w:val="009A1DB7"/>
    <w:rsid w:val="009A22A0"/>
    <w:rsid w:val="009A246A"/>
    <w:rsid w:val="009A24AF"/>
    <w:rsid w:val="009A24D7"/>
    <w:rsid w:val="009A2711"/>
    <w:rsid w:val="009A278C"/>
    <w:rsid w:val="009A2AF0"/>
    <w:rsid w:val="009A2B4F"/>
    <w:rsid w:val="009A2CA0"/>
    <w:rsid w:val="009A2ED7"/>
    <w:rsid w:val="009A34FF"/>
    <w:rsid w:val="009A37FF"/>
    <w:rsid w:val="009A3DE0"/>
    <w:rsid w:val="009A40EA"/>
    <w:rsid w:val="009A4348"/>
    <w:rsid w:val="009A44D2"/>
    <w:rsid w:val="009A4843"/>
    <w:rsid w:val="009A49B1"/>
    <w:rsid w:val="009A4AD1"/>
    <w:rsid w:val="009A51DC"/>
    <w:rsid w:val="009A56D0"/>
    <w:rsid w:val="009A58E6"/>
    <w:rsid w:val="009A5D53"/>
    <w:rsid w:val="009A5F49"/>
    <w:rsid w:val="009A606A"/>
    <w:rsid w:val="009A612E"/>
    <w:rsid w:val="009A62AF"/>
    <w:rsid w:val="009A62C5"/>
    <w:rsid w:val="009A62DD"/>
    <w:rsid w:val="009A64B0"/>
    <w:rsid w:val="009A65B7"/>
    <w:rsid w:val="009A6846"/>
    <w:rsid w:val="009A691A"/>
    <w:rsid w:val="009A694F"/>
    <w:rsid w:val="009A7026"/>
    <w:rsid w:val="009A72E4"/>
    <w:rsid w:val="009A7805"/>
    <w:rsid w:val="009A7A1D"/>
    <w:rsid w:val="009A7A4B"/>
    <w:rsid w:val="009A7A51"/>
    <w:rsid w:val="009A7CEE"/>
    <w:rsid w:val="009A7DC6"/>
    <w:rsid w:val="009A7DC7"/>
    <w:rsid w:val="009A7FF4"/>
    <w:rsid w:val="009B0175"/>
    <w:rsid w:val="009B06C2"/>
    <w:rsid w:val="009B070A"/>
    <w:rsid w:val="009B092A"/>
    <w:rsid w:val="009B09DC"/>
    <w:rsid w:val="009B09ED"/>
    <w:rsid w:val="009B148A"/>
    <w:rsid w:val="009B1570"/>
    <w:rsid w:val="009B1C99"/>
    <w:rsid w:val="009B1E79"/>
    <w:rsid w:val="009B1F0C"/>
    <w:rsid w:val="009B1F5F"/>
    <w:rsid w:val="009B24F6"/>
    <w:rsid w:val="009B2894"/>
    <w:rsid w:val="009B2CBB"/>
    <w:rsid w:val="009B2E69"/>
    <w:rsid w:val="009B2EFA"/>
    <w:rsid w:val="009B3110"/>
    <w:rsid w:val="009B3489"/>
    <w:rsid w:val="009B3686"/>
    <w:rsid w:val="009B36DB"/>
    <w:rsid w:val="009B3BF7"/>
    <w:rsid w:val="009B3E62"/>
    <w:rsid w:val="009B473D"/>
    <w:rsid w:val="009B5092"/>
    <w:rsid w:val="009B524B"/>
    <w:rsid w:val="009B5343"/>
    <w:rsid w:val="009B53B4"/>
    <w:rsid w:val="009B57C2"/>
    <w:rsid w:val="009B5805"/>
    <w:rsid w:val="009B58F5"/>
    <w:rsid w:val="009B5B22"/>
    <w:rsid w:val="009B5E61"/>
    <w:rsid w:val="009B6107"/>
    <w:rsid w:val="009B62BC"/>
    <w:rsid w:val="009B67F2"/>
    <w:rsid w:val="009B6939"/>
    <w:rsid w:val="009B6C68"/>
    <w:rsid w:val="009B75FD"/>
    <w:rsid w:val="009B77D4"/>
    <w:rsid w:val="009B79D1"/>
    <w:rsid w:val="009B7D72"/>
    <w:rsid w:val="009C011F"/>
    <w:rsid w:val="009C0246"/>
    <w:rsid w:val="009C0562"/>
    <w:rsid w:val="009C0E37"/>
    <w:rsid w:val="009C0EE4"/>
    <w:rsid w:val="009C0FEC"/>
    <w:rsid w:val="009C115D"/>
    <w:rsid w:val="009C11A3"/>
    <w:rsid w:val="009C12DD"/>
    <w:rsid w:val="009C13DA"/>
    <w:rsid w:val="009C1652"/>
    <w:rsid w:val="009C1687"/>
    <w:rsid w:val="009C1748"/>
    <w:rsid w:val="009C180B"/>
    <w:rsid w:val="009C1BC6"/>
    <w:rsid w:val="009C1C3A"/>
    <w:rsid w:val="009C1E15"/>
    <w:rsid w:val="009C1E4C"/>
    <w:rsid w:val="009C2110"/>
    <w:rsid w:val="009C2152"/>
    <w:rsid w:val="009C22FD"/>
    <w:rsid w:val="009C2498"/>
    <w:rsid w:val="009C256E"/>
    <w:rsid w:val="009C25FC"/>
    <w:rsid w:val="009C2A4E"/>
    <w:rsid w:val="009C2C06"/>
    <w:rsid w:val="009C2C0E"/>
    <w:rsid w:val="009C2D91"/>
    <w:rsid w:val="009C2DD2"/>
    <w:rsid w:val="009C2E7B"/>
    <w:rsid w:val="009C3277"/>
    <w:rsid w:val="009C3CC8"/>
    <w:rsid w:val="009C3D54"/>
    <w:rsid w:val="009C401E"/>
    <w:rsid w:val="009C4024"/>
    <w:rsid w:val="009C44CF"/>
    <w:rsid w:val="009C4A92"/>
    <w:rsid w:val="009C4BA8"/>
    <w:rsid w:val="009C518D"/>
    <w:rsid w:val="009C550B"/>
    <w:rsid w:val="009C55F7"/>
    <w:rsid w:val="009C56F7"/>
    <w:rsid w:val="009C5954"/>
    <w:rsid w:val="009C5967"/>
    <w:rsid w:val="009C5E71"/>
    <w:rsid w:val="009C5EE9"/>
    <w:rsid w:val="009C601C"/>
    <w:rsid w:val="009C61DD"/>
    <w:rsid w:val="009C62EE"/>
    <w:rsid w:val="009C67A5"/>
    <w:rsid w:val="009C6923"/>
    <w:rsid w:val="009C6A26"/>
    <w:rsid w:val="009C6A90"/>
    <w:rsid w:val="009C7058"/>
    <w:rsid w:val="009C7062"/>
    <w:rsid w:val="009C7767"/>
    <w:rsid w:val="009C7D4D"/>
    <w:rsid w:val="009D00BA"/>
    <w:rsid w:val="009D01D3"/>
    <w:rsid w:val="009D02B1"/>
    <w:rsid w:val="009D0871"/>
    <w:rsid w:val="009D099E"/>
    <w:rsid w:val="009D0A38"/>
    <w:rsid w:val="009D0E1C"/>
    <w:rsid w:val="009D13D7"/>
    <w:rsid w:val="009D13EE"/>
    <w:rsid w:val="009D1A66"/>
    <w:rsid w:val="009D1F49"/>
    <w:rsid w:val="009D2080"/>
    <w:rsid w:val="009D2A6D"/>
    <w:rsid w:val="009D30CB"/>
    <w:rsid w:val="009D3505"/>
    <w:rsid w:val="009D354B"/>
    <w:rsid w:val="009D35E5"/>
    <w:rsid w:val="009D36C0"/>
    <w:rsid w:val="009D37A6"/>
    <w:rsid w:val="009D384D"/>
    <w:rsid w:val="009D38DC"/>
    <w:rsid w:val="009D3AC7"/>
    <w:rsid w:val="009D3D57"/>
    <w:rsid w:val="009D4023"/>
    <w:rsid w:val="009D4139"/>
    <w:rsid w:val="009D445D"/>
    <w:rsid w:val="009D446F"/>
    <w:rsid w:val="009D44AF"/>
    <w:rsid w:val="009D4507"/>
    <w:rsid w:val="009D453C"/>
    <w:rsid w:val="009D47E9"/>
    <w:rsid w:val="009D4804"/>
    <w:rsid w:val="009D487A"/>
    <w:rsid w:val="009D48DC"/>
    <w:rsid w:val="009D4A96"/>
    <w:rsid w:val="009D4C9D"/>
    <w:rsid w:val="009D4F27"/>
    <w:rsid w:val="009D518B"/>
    <w:rsid w:val="009D5707"/>
    <w:rsid w:val="009D5B6E"/>
    <w:rsid w:val="009D5E81"/>
    <w:rsid w:val="009D5FB2"/>
    <w:rsid w:val="009D65C6"/>
    <w:rsid w:val="009D6612"/>
    <w:rsid w:val="009D66D2"/>
    <w:rsid w:val="009D7281"/>
    <w:rsid w:val="009D747B"/>
    <w:rsid w:val="009D74F0"/>
    <w:rsid w:val="009D7574"/>
    <w:rsid w:val="009D77E3"/>
    <w:rsid w:val="009D77F3"/>
    <w:rsid w:val="009D79FF"/>
    <w:rsid w:val="009D7A63"/>
    <w:rsid w:val="009D7D29"/>
    <w:rsid w:val="009D7D7C"/>
    <w:rsid w:val="009D7FBF"/>
    <w:rsid w:val="009E020E"/>
    <w:rsid w:val="009E027B"/>
    <w:rsid w:val="009E0291"/>
    <w:rsid w:val="009E04E4"/>
    <w:rsid w:val="009E06C4"/>
    <w:rsid w:val="009E0881"/>
    <w:rsid w:val="009E0B0A"/>
    <w:rsid w:val="009E0B50"/>
    <w:rsid w:val="009E0E06"/>
    <w:rsid w:val="009E0E3B"/>
    <w:rsid w:val="009E1182"/>
    <w:rsid w:val="009E136E"/>
    <w:rsid w:val="009E1B50"/>
    <w:rsid w:val="009E1BEC"/>
    <w:rsid w:val="009E2009"/>
    <w:rsid w:val="009E23FF"/>
    <w:rsid w:val="009E2785"/>
    <w:rsid w:val="009E27A1"/>
    <w:rsid w:val="009E30C6"/>
    <w:rsid w:val="009E32F7"/>
    <w:rsid w:val="009E33C4"/>
    <w:rsid w:val="009E33C6"/>
    <w:rsid w:val="009E3DA2"/>
    <w:rsid w:val="009E3E6B"/>
    <w:rsid w:val="009E4204"/>
    <w:rsid w:val="009E4666"/>
    <w:rsid w:val="009E4AFB"/>
    <w:rsid w:val="009E4E21"/>
    <w:rsid w:val="009E4ED4"/>
    <w:rsid w:val="009E4F9D"/>
    <w:rsid w:val="009E5019"/>
    <w:rsid w:val="009E5158"/>
    <w:rsid w:val="009E523C"/>
    <w:rsid w:val="009E53F8"/>
    <w:rsid w:val="009E57F0"/>
    <w:rsid w:val="009E582F"/>
    <w:rsid w:val="009E5958"/>
    <w:rsid w:val="009E5977"/>
    <w:rsid w:val="009E5A45"/>
    <w:rsid w:val="009E5E18"/>
    <w:rsid w:val="009E6328"/>
    <w:rsid w:val="009E661D"/>
    <w:rsid w:val="009E670A"/>
    <w:rsid w:val="009E670C"/>
    <w:rsid w:val="009E6719"/>
    <w:rsid w:val="009E68A5"/>
    <w:rsid w:val="009E6AEC"/>
    <w:rsid w:val="009E6D1E"/>
    <w:rsid w:val="009E6DD3"/>
    <w:rsid w:val="009E6ED7"/>
    <w:rsid w:val="009E7220"/>
    <w:rsid w:val="009E74ED"/>
    <w:rsid w:val="009E753A"/>
    <w:rsid w:val="009E7663"/>
    <w:rsid w:val="009F0060"/>
    <w:rsid w:val="009F069F"/>
    <w:rsid w:val="009F0736"/>
    <w:rsid w:val="009F07C5"/>
    <w:rsid w:val="009F07FF"/>
    <w:rsid w:val="009F0AAD"/>
    <w:rsid w:val="009F0F70"/>
    <w:rsid w:val="009F0F8B"/>
    <w:rsid w:val="009F10BB"/>
    <w:rsid w:val="009F11E5"/>
    <w:rsid w:val="009F12FD"/>
    <w:rsid w:val="009F1464"/>
    <w:rsid w:val="009F1AE2"/>
    <w:rsid w:val="009F1BFA"/>
    <w:rsid w:val="009F1C77"/>
    <w:rsid w:val="009F1F07"/>
    <w:rsid w:val="009F1F66"/>
    <w:rsid w:val="009F2446"/>
    <w:rsid w:val="009F28E4"/>
    <w:rsid w:val="009F29B0"/>
    <w:rsid w:val="009F2F2D"/>
    <w:rsid w:val="009F35B4"/>
    <w:rsid w:val="009F36F8"/>
    <w:rsid w:val="009F36FD"/>
    <w:rsid w:val="009F3702"/>
    <w:rsid w:val="009F385E"/>
    <w:rsid w:val="009F3978"/>
    <w:rsid w:val="009F39B7"/>
    <w:rsid w:val="009F39C0"/>
    <w:rsid w:val="009F3E72"/>
    <w:rsid w:val="009F3F66"/>
    <w:rsid w:val="009F4915"/>
    <w:rsid w:val="009F49B8"/>
    <w:rsid w:val="009F506C"/>
    <w:rsid w:val="009F51C3"/>
    <w:rsid w:val="009F540B"/>
    <w:rsid w:val="009F54E7"/>
    <w:rsid w:val="009F575F"/>
    <w:rsid w:val="009F5C72"/>
    <w:rsid w:val="009F5C78"/>
    <w:rsid w:val="009F5CBE"/>
    <w:rsid w:val="009F5DA3"/>
    <w:rsid w:val="009F5F9F"/>
    <w:rsid w:val="009F6052"/>
    <w:rsid w:val="009F61DF"/>
    <w:rsid w:val="009F6B04"/>
    <w:rsid w:val="009F6B39"/>
    <w:rsid w:val="009F705E"/>
    <w:rsid w:val="009F767D"/>
    <w:rsid w:val="009F7A37"/>
    <w:rsid w:val="009F7AF0"/>
    <w:rsid w:val="009F7B01"/>
    <w:rsid w:val="009F7BCB"/>
    <w:rsid w:val="009F7BE7"/>
    <w:rsid w:val="009F7C6D"/>
    <w:rsid w:val="009F7CD5"/>
    <w:rsid w:val="00A001B6"/>
    <w:rsid w:val="00A00416"/>
    <w:rsid w:val="00A00666"/>
    <w:rsid w:val="00A0067B"/>
    <w:rsid w:val="00A00A72"/>
    <w:rsid w:val="00A00BBF"/>
    <w:rsid w:val="00A00DA0"/>
    <w:rsid w:val="00A00F01"/>
    <w:rsid w:val="00A01412"/>
    <w:rsid w:val="00A01828"/>
    <w:rsid w:val="00A018C3"/>
    <w:rsid w:val="00A01ABD"/>
    <w:rsid w:val="00A01BA5"/>
    <w:rsid w:val="00A01DBA"/>
    <w:rsid w:val="00A01F04"/>
    <w:rsid w:val="00A01F57"/>
    <w:rsid w:val="00A02169"/>
    <w:rsid w:val="00A0226E"/>
    <w:rsid w:val="00A0252E"/>
    <w:rsid w:val="00A025A1"/>
    <w:rsid w:val="00A025B6"/>
    <w:rsid w:val="00A02B3B"/>
    <w:rsid w:val="00A02E45"/>
    <w:rsid w:val="00A033A5"/>
    <w:rsid w:val="00A03E4D"/>
    <w:rsid w:val="00A04148"/>
    <w:rsid w:val="00A04304"/>
    <w:rsid w:val="00A04339"/>
    <w:rsid w:val="00A0441C"/>
    <w:rsid w:val="00A04AE5"/>
    <w:rsid w:val="00A04D97"/>
    <w:rsid w:val="00A04EC9"/>
    <w:rsid w:val="00A04F29"/>
    <w:rsid w:val="00A053EA"/>
    <w:rsid w:val="00A05600"/>
    <w:rsid w:val="00A058C5"/>
    <w:rsid w:val="00A05927"/>
    <w:rsid w:val="00A05967"/>
    <w:rsid w:val="00A05ABC"/>
    <w:rsid w:val="00A05E2F"/>
    <w:rsid w:val="00A05E82"/>
    <w:rsid w:val="00A05F16"/>
    <w:rsid w:val="00A05F4C"/>
    <w:rsid w:val="00A06002"/>
    <w:rsid w:val="00A062A4"/>
    <w:rsid w:val="00A06711"/>
    <w:rsid w:val="00A06971"/>
    <w:rsid w:val="00A06DD2"/>
    <w:rsid w:val="00A06F02"/>
    <w:rsid w:val="00A06F0B"/>
    <w:rsid w:val="00A07507"/>
    <w:rsid w:val="00A07617"/>
    <w:rsid w:val="00A07B8D"/>
    <w:rsid w:val="00A07D5D"/>
    <w:rsid w:val="00A07E74"/>
    <w:rsid w:val="00A10096"/>
    <w:rsid w:val="00A104BC"/>
    <w:rsid w:val="00A10556"/>
    <w:rsid w:val="00A10BC3"/>
    <w:rsid w:val="00A10C53"/>
    <w:rsid w:val="00A10CE2"/>
    <w:rsid w:val="00A10DAD"/>
    <w:rsid w:val="00A111D8"/>
    <w:rsid w:val="00A115BE"/>
    <w:rsid w:val="00A116F3"/>
    <w:rsid w:val="00A117D7"/>
    <w:rsid w:val="00A11AD0"/>
    <w:rsid w:val="00A11CBB"/>
    <w:rsid w:val="00A11EB2"/>
    <w:rsid w:val="00A11EFA"/>
    <w:rsid w:val="00A120A1"/>
    <w:rsid w:val="00A122A8"/>
    <w:rsid w:val="00A1251D"/>
    <w:rsid w:val="00A12643"/>
    <w:rsid w:val="00A12669"/>
    <w:rsid w:val="00A12705"/>
    <w:rsid w:val="00A12960"/>
    <w:rsid w:val="00A12B9F"/>
    <w:rsid w:val="00A12CEB"/>
    <w:rsid w:val="00A12E82"/>
    <w:rsid w:val="00A13222"/>
    <w:rsid w:val="00A13585"/>
    <w:rsid w:val="00A13601"/>
    <w:rsid w:val="00A136BC"/>
    <w:rsid w:val="00A1372F"/>
    <w:rsid w:val="00A13883"/>
    <w:rsid w:val="00A13A40"/>
    <w:rsid w:val="00A13E98"/>
    <w:rsid w:val="00A14132"/>
    <w:rsid w:val="00A14163"/>
    <w:rsid w:val="00A145BB"/>
    <w:rsid w:val="00A14C07"/>
    <w:rsid w:val="00A14C7A"/>
    <w:rsid w:val="00A1535A"/>
    <w:rsid w:val="00A15378"/>
    <w:rsid w:val="00A156B3"/>
    <w:rsid w:val="00A158C3"/>
    <w:rsid w:val="00A1590F"/>
    <w:rsid w:val="00A15A6E"/>
    <w:rsid w:val="00A15CC6"/>
    <w:rsid w:val="00A1611A"/>
    <w:rsid w:val="00A16373"/>
    <w:rsid w:val="00A164B1"/>
    <w:rsid w:val="00A16547"/>
    <w:rsid w:val="00A16565"/>
    <w:rsid w:val="00A169F9"/>
    <w:rsid w:val="00A16CA7"/>
    <w:rsid w:val="00A16CB0"/>
    <w:rsid w:val="00A16FC2"/>
    <w:rsid w:val="00A17136"/>
    <w:rsid w:val="00A1720B"/>
    <w:rsid w:val="00A174E8"/>
    <w:rsid w:val="00A177D8"/>
    <w:rsid w:val="00A17ACD"/>
    <w:rsid w:val="00A2001A"/>
    <w:rsid w:val="00A20181"/>
    <w:rsid w:val="00A2033D"/>
    <w:rsid w:val="00A2035B"/>
    <w:rsid w:val="00A203C2"/>
    <w:rsid w:val="00A20508"/>
    <w:rsid w:val="00A2057D"/>
    <w:rsid w:val="00A206A4"/>
    <w:rsid w:val="00A20B6C"/>
    <w:rsid w:val="00A210A4"/>
    <w:rsid w:val="00A2146D"/>
    <w:rsid w:val="00A2154F"/>
    <w:rsid w:val="00A2189E"/>
    <w:rsid w:val="00A218A9"/>
    <w:rsid w:val="00A21AFD"/>
    <w:rsid w:val="00A21C98"/>
    <w:rsid w:val="00A21D59"/>
    <w:rsid w:val="00A21E3F"/>
    <w:rsid w:val="00A220E6"/>
    <w:rsid w:val="00A2215A"/>
    <w:rsid w:val="00A22365"/>
    <w:rsid w:val="00A225CC"/>
    <w:rsid w:val="00A22766"/>
    <w:rsid w:val="00A227AA"/>
    <w:rsid w:val="00A229DC"/>
    <w:rsid w:val="00A2303F"/>
    <w:rsid w:val="00A23040"/>
    <w:rsid w:val="00A234AE"/>
    <w:rsid w:val="00A2361E"/>
    <w:rsid w:val="00A23BC3"/>
    <w:rsid w:val="00A23D3A"/>
    <w:rsid w:val="00A23EEA"/>
    <w:rsid w:val="00A2426B"/>
    <w:rsid w:val="00A24522"/>
    <w:rsid w:val="00A2452C"/>
    <w:rsid w:val="00A246FD"/>
    <w:rsid w:val="00A2477B"/>
    <w:rsid w:val="00A247D5"/>
    <w:rsid w:val="00A2491D"/>
    <w:rsid w:val="00A24AFD"/>
    <w:rsid w:val="00A24DB6"/>
    <w:rsid w:val="00A25453"/>
    <w:rsid w:val="00A25747"/>
    <w:rsid w:val="00A25783"/>
    <w:rsid w:val="00A257EE"/>
    <w:rsid w:val="00A25D7E"/>
    <w:rsid w:val="00A25E93"/>
    <w:rsid w:val="00A260A3"/>
    <w:rsid w:val="00A2659E"/>
    <w:rsid w:val="00A26773"/>
    <w:rsid w:val="00A26E39"/>
    <w:rsid w:val="00A27243"/>
    <w:rsid w:val="00A274C7"/>
    <w:rsid w:val="00A27574"/>
    <w:rsid w:val="00A27590"/>
    <w:rsid w:val="00A27C7A"/>
    <w:rsid w:val="00A27D5A"/>
    <w:rsid w:val="00A27F65"/>
    <w:rsid w:val="00A3082A"/>
    <w:rsid w:val="00A3082C"/>
    <w:rsid w:val="00A30DBA"/>
    <w:rsid w:val="00A30E7C"/>
    <w:rsid w:val="00A310F0"/>
    <w:rsid w:val="00A313B1"/>
    <w:rsid w:val="00A31C26"/>
    <w:rsid w:val="00A31E7F"/>
    <w:rsid w:val="00A3231F"/>
    <w:rsid w:val="00A3233F"/>
    <w:rsid w:val="00A32509"/>
    <w:rsid w:val="00A32B65"/>
    <w:rsid w:val="00A32D91"/>
    <w:rsid w:val="00A32E3F"/>
    <w:rsid w:val="00A32F54"/>
    <w:rsid w:val="00A330A1"/>
    <w:rsid w:val="00A330BD"/>
    <w:rsid w:val="00A33858"/>
    <w:rsid w:val="00A339A9"/>
    <w:rsid w:val="00A33A02"/>
    <w:rsid w:val="00A33B9F"/>
    <w:rsid w:val="00A33D23"/>
    <w:rsid w:val="00A343F8"/>
    <w:rsid w:val="00A344BB"/>
    <w:rsid w:val="00A34555"/>
    <w:rsid w:val="00A3487D"/>
    <w:rsid w:val="00A34AAF"/>
    <w:rsid w:val="00A34B5A"/>
    <w:rsid w:val="00A35063"/>
    <w:rsid w:val="00A3528E"/>
    <w:rsid w:val="00A3533C"/>
    <w:rsid w:val="00A3592B"/>
    <w:rsid w:val="00A35D05"/>
    <w:rsid w:val="00A360E8"/>
    <w:rsid w:val="00A3616F"/>
    <w:rsid w:val="00A3673D"/>
    <w:rsid w:val="00A36D09"/>
    <w:rsid w:val="00A36D0D"/>
    <w:rsid w:val="00A36FDE"/>
    <w:rsid w:val="00A37088"/>
    <w:rsid w:val="00A370C3"/>
    <w:rsid w:val="00A371B5"/>
    <w:rsid w:val="00A375B7"/>
    <w:rsid w:val="00A375CC"/>
    <w:rsid w:val="00A37770"/>
    <w:rsid w:val="00A37929"/>
    <w:rsid w:val="00A379A8"/>
    <w:rsid w:val="00A379FA"/>
    <w:rsid w:val="00A37B75"/>
    <w:rsid w:val="00A37DBD"/>
    <w:rsid w:val="00A400F1"/>
    <w:rsid w:val="00A401ED"/>
    <w:rsid w:val="00A40408"/>
    <w:rsid w:val="00A40468"/>
    <w:rsid w:val="00A409CF"/>
    <w:rsid w:val="00A4104F"/>
    <w:rsid w:val="00A41185"/>
    <w:rsid w:val="00A4154B"/>
    <w:rsid w:val="00A41628"/>
    <w:rsid w:val="00A416A7"/>
    <w:rsid w:val="00A41C26"/>
    <w:rsid w:val="00A42241"/>
    <w:rsid w:val="00A427B6"/>
    <w:rsid w:val="00A42AC7"/>
    <w:rsid w:val="00A42FB0"/>
    <w:rsid w:val="00A43088"/>
    <w:rsid w:val="00A434FE"/>
    <w:rsid w:val="00A439C9"/>
    <w:rsid w:val="00A43ABA"/>
    <w:rsid w:val="00A43EDA"/>
    <w:rsid w:val="00A43F77"/>
    <w:rsid w:val="00A441B4"/>
    <w:rsid w:val="00A4444E"/>
    <w:rsid w:val="00A4446C"/>
    <w:rsid w:val="00A448BB"/>
    <w:rsid w:val="00A448BF"/>
    <w:rsid w:val="00A448D7"/>
    <w:rsid w:val="00A44CF4"/>
    <w:rsid w:val="00A44E0B"/>
    <w:rsid w:val="00A44F9E"/>
    <w:rsid w:val="00A4547E"/>
    <w:rsid w:val="00A455BD"/>
    <w:rsid w:val="00A455E8"/>
    <w:rsid w:val="00A4562C"/>
    <w:rsid w:val="00A45C03"/>
    <w:rsid w:val="00A45CB7"/>
    <w:rsid w:val="00A466DD"/>
    <w:rsid w:val="00A469AF"/>
    <w:rsid w:val="00A46B2B"/>
    <w:rsid w:val="00A47696"/>
    <w:rsid w:val="00A477E0"/>
    <w:rsid w:val="00A479A1"/>
    <w:rsid w:val="00A47B18"/>
    <w:rsid w:val="00A47EDD"/>
    <w:rsid w:val="00A50004"/>
    <w:rsid w:val="00A5001E"/>
    <w:rsid w:val="00A5012F"/>
    <w:rsid w:val="00A5052D"/>
    <w:rsid w:val="00A505CF"/>
    <w:rsid w:val="00A505DF"/>
    <w:rsid w:val="00A50C73"/>
    <w:rsid w:val="00A50EFF"/>
    <w:rsid w:val="00A510C9"/>
    <w:rsid w:val="00A51391"/>
    <w:rsid w:val="00A51487"/>
    <w:rsid w:val="00A516AD"/>
    <w:rsid w:val="00A517A8"/>
    <w:rsid w:val="00A519DC"/>
    <w:rsid w:val="00A52137"/>
    <w:rsid w:val="00A523FA"/>
    <w:rsid w:val="00A52BF2"/>
    <w:rsid w:val="00A52C27"/>
    <w:rsid w:val="00A532D5"/>
    <w:rsid w:val="00A53380"/>
    <w:rsid w:val="00A533A9"/>
    <w:rsid w:val="00A5341D"/>
    <w:rsid w:val="00A53429"/>
    <w:rsid w:val="00A535D3"/>
    <w:rsid w:val="00A536A1"/>
    <w:rsid w:val="00A5385B"/>
    <w:rsid w:val="00A53902"/>
    <w:rsid w:val="00A53BFE"/>
    <w:rsid w:val="00A53C9E"/>
    <w:rsid w:val="00A53E49"/>
    <w:rsid w:val="00A53F54"/>
    <w:rsid w:val="00A54096"/>
    <w:rsid w:val="00A541F1"/>
    <w:rsid w:val="00A5469A"/>
    <w:rsid w:val="00A54A1F"/>
    <w:rsid w:val="00A54E8C"/>
    <w:rsid w:val="00A54EF5"/>
    <w:rsid w:val="00A550CF"/>
    <w:rsid w:val="00A5545A"/>
    <w:rsid w:val="00A55565"/>
    <w:rsid w:val="00A556F8"/>
    <w:rsid w:val="00A558D1"/>
    <w:rsid w:val="00A55B3D"/>
    <w:rsid w:val="00A55C2E"/>
    <w:rsid w:val="00A55CE0"/>
    <w:rsid w:val="00A55D35"/>
    <w:rsid w:val="00A55E5A"/>
    <w:rsid w:val="00A56398"/>
    <w:rsid w:val="00A56508"/>
    <w:rsid w:val="00A567C8"/>
    <w:rsid w:val="00A56BFD"/>
    <w:rsid w:val="00A56CCA"/>
    <w:rsid w:val="00A56FFE"/>
    <w:rsid w:val="00A570D4"/>
    <w:rsid w:val="00A57313"/>
    <w:rsid w:val="00A57B18"/>
    <w:rsid w:val="00A57B53"/>
    <w:rsid w:val="00A57D1B"/>
    <w:rsid w:val="00A57DB2"/>
    <w:rsid w:val="00A57FDA"/>
    <w:rsid w:val="00A6019F"/>
    <w:rsid w:val="00A60204"/>
    <w:rsid w:val="00A604CC"/>
    <w:rsid w:val="00A607D1"/>
    <w:rsid w:val="00A60C9D"/>
    <w:rsid w:val="00A60D7E"/>
    <w:rsid w:val="00A61188"/>
    <w:rsid w:val="00A613A2"/>
    <w:rsid w:val="00A615FA"/>
    <w:rsid w:val="00A61639"/>
    <w:rsid w:val="00A61645"/>
    <w:rsid w:val="00A6181A"/>
    <w:rsid w:val="00A618AB"/>
    <w:rsid w:val="00A61BA8"/>
    <w:rsid w:val="00A61EB8"/>
    <w:rsid w:val="00A61F16"/>
    <w:rsid w:val="00A62048"/>
    <w:rsid w:val="00A6234A"/>
    <w:rsid w:val="00A62BF8"/>
    <w:rsid w:val="00A62DE1"/>
    <w:rsid w:val="00A632D7"/>
    <w:rsid w:val="00A6341B"/>
    <w:rsid w:val="00A638D6"/>
    <w:rsid w:val="00A638E3"/>
    <w:rsid w:val="00A639D6"/>
    <w:rsid w:val="00A63BA4"/>
    <w:rsid w:val="00A64021"/>
    <w:rsid w:val="00A64B51"/>
    <w:rsid w:val="00A6510C"/>
    <w:rsid w:val="00A65151"/>
    <w:rsid w:val="00A652D7"/>
    <w:rsid w:val="00A6538D"/>
    <w:rsid w:val="00A6574C"/>
    <w:rsid w:val="00A65B77"/>
    <w:rsid w:val="00A65C63"/>
    <w:rsid w:val="00A66187"/>
    <w:rsid w:val="00A66402"/>
    <w:rsid w:val="00A664F1"/>
    <w:rsid w:val="00A667BA"/>
    <w:rsid w:val="00A6694B"/>
    <w:rsid w:val="00A66AA5"/>
    <w:rsid w:val="00A66DC6"/>
    <w:rsid w:val="00A66EF8"/>
    <w:rsid w:val="00A674B9"/>
    <w:rsid w:val="00A67AB4"/>
    <w:rsid w:val="00A700EF"/>
    <w:rsid w:val="00A701AD"/>
    <w:rsid w:val="00A7066E"/>
    <w:rsid w:val="00A70A9C"/>
    <w:rsid w:val="00A70E5F"/>
    <w:rsid w:val="00A71160"/>
    <w:rsid w:val="00A71499"/>
    <w:rsid w:val="00A71515"/>
    <w:rsid w:val="00A716DE"/>
    <w:rsid w:val="00A719B1"/>
    <w:rsid w:val="00A71B62"/>
    <w:rsid w:val="00A71BB6"/>
    <w:rsid w:val="00A71C03"/>
    <w:rsid w:val="00A71D5B"/>
    <w:rsid w:val="00A72282"/>
    <w:rsid w:val="00A72321"/>
    <w:rsid w:val="00A72C0A"/>
    <w:rsid w:val="00A72F0D"/>
    <w:rsid w:val="00A730F0"/>
    <w:rsid w:val="00A730FC"/>
    <w:rsid w:val="00A73283"/>
    <w:rsid w:val="00A733EA"/>
    <w:rsid w:val="00A7352D"/>
    <w:rsid w:val="00A73B91"/>
    <w:rsid w:val="00A73FE9"/>
    <w:rsid w:val="00A7411E"/>
    <w:rsid w:val="00A742E3"/>
    <w:rsid w:val="00A743D6"/>
    <w:rsid w:val="00A743FD"/>
    <w:rsid w:val="00A74419"/>
    <w:rsid w:val="00A74528"/>
    <w:rsid w:val="00A74A82"/>
    <w:rsid w:val="00A74CD1"/>
    <w:rsid w:val="00A75240"/>
    <w:rsid w:val="00A7594B"/>
    <w:rsid w:val="00A75BA2"/>
    <w:rsid w:val="00A75BB1"/>
    <w:rsid w:val="00A75DA2"/>
    <w:rsid w:val="00A765D8"/>
    <w:rsid w:val="00A765EE"/>
    <w:rsid w:val="00A76661"/>
    <w:rsid w:val="00A766A3"/>
    <w:rsid w:val="00A769F6"/>
    <w:rsid w:val="00A76C53"/>
    <w:rsid w:val="00A77763"/>
    <w:rsid w:val="00A77942"/>
    <w:rsid w:val="00A779B9"/>
    <w:rsid w:val="00A77C70"/>
    <w:rsid w:val="00A77D19"/>
    <w:rsid w:val="00A77D45"/>
    <w:rsid w:val="00A77F0D"/>
    <w:rsid w:val="00A8019E"/>
    <w:rsid w:val="00A803DC"/>
    <w:rsid w:val="00A80F09"/>
    <w:rsid w:val="00A81D22"/>
    <w:rsid w:val="00A81DBF"/>
    <w:rsid w:val="00A81FE6"/>
    <w:rsid w:val="00A824F5"/>
    <w:rsid w:val="00A82637"/>
    <w:rsid w:val="00A828BA"/>
    <w:rsid w:val="00A82EB0"/>
    <w:rsid w:val="00A82F63"/>
    <w:rsid w:val="00A8301D"/>
    <w:rsid w:val="00A830C7"/>
    <w:rsid w:val="00A83216"/>
    <w:rsid w:val="00A8338A"/>
    <w:rsid w:val="00A83829"/>
    <w:rsid w:val="00A838F5"/>
    <w:rsid w:val="00A8396E"/>
    <w:rsid w:val="00A83D93"/>
    <w:rsid w:val="00A8423E"/>
    <w:rsid w:val="00A8447F"/>
    <w:rsid w:val="00A84AAB"/>
    <w:rsid w:val="00A84B5C"/>
    <w:rsid w:val="00A850F5"/>
    <w:rsid w:val="00A853DE"/>
    <w:rsid w:val="00A854F2"/>
    <w:rsid w:val="00A85585"/>
    <w:rsid w:val="00A855E9"/>
    <w:rsid w:val="00A85A64"/>
    <w:rsid w:val="00A85F97"/>
    <w:rsid w:val="00A8607A"/>
    <w:rsid w:val="00A86251"/>
    <w:rsid w:val="00A8658A"/>
    <w:rsid w:val="00A865E1"/>
    <w:rsid w:val="00A86754"/>
    <w:rsid w:val="00A867F1"/>
    <w:rsid w:val="00A86B01"/>
    <w:rsid w:val="00A86C2D"/>
    <w:rsid w:val="00A86F49"/>
    <w:rsid w:val="00A870E9"/>
    <w:rsid w:val="00A87135"/>
    <w:rsid w:val="00A871EC"/>
    <w:rsid w:val="00A873B7"/>
    <w:rsid w:val="00A87781"/>
    <w:rsid w:val="00A87980"/>
    <w:rsid w:val="00A87B22"/>
    <w:rsid w:val="00A87C20"/>
    <w:rsid w:val="00A87CCD"/>
    <w:rsid w:val="00A9019F"/>
    <w:rsid w:val="00A90550"/>
    <w:rsid w:val="00A9059F"/>
    <w:rsid w:val="00A90811"/>
    <w:rsid w:val="00A90961"/>
    <w:rsid w:val="00A90A4E"/>
    <w:rsid w:val="00A90CC9"/>
    <w:rsid w:val="00A90D0D"/>
    <w:rsid w:val="00A90DAC"/>
    <w:rsid w:val="00A90DFB"/>
    <w:rsid w:val="00A90EAC"/>
    <w:rsid w:val="00A90F06"/>
    <w:rsid w:val="00A91304"/>
    <w:rsid w:val="00A913E1"/>
    <w:rsid w:val="00A91486"/>
    <w:rsid w:val="00A91507"/>
    <w:rsid w:val="00A917B9"/>
    <w:rsid w:val="00A91896"/>
    <w:rsid w:val="00A91D44"/>
    <w:rsid w:val="00A91D75"/>
    <w:rsid w:val="00A91F41"/>
    <w:rsid w:val="00A9214F"/>
    <w:rsid w:val="00A9232E"/>
    <w:rsid w:val="00A923C6"/>
    <w:rsid w:val="00A923E0"/>
    <w:rsid w:val="00A9295A"/>
    <w:rsid w:val="00A92BB3"/>
    <w:rsid w:val="00A92E78"/>
    <w:rsid w:val="00A92F56"/>
    <w:rsid w:val="00A9317A"/>
    <w:rsid w:val="00A93536"/>
    <w:rsid w:val="00A935AC"/>
    <w:rsid w:val="00A937F1"/>
    <w:rsid w:val="00A938F7"/>
    <w:rsid w:val="00A93A88"/>
    <w:rsid w:val="00A93C0E"/>
    <w:rsid w:val="00A93D5A"/>
    <w:rsid w:val="00A93FAF"/>
    <w:rsid w:val="00A9426F"/>
    <w:rsid w:val="00A947E6"/>
    <w:rsid w:val="00A949B6"/>
    <w:rsid w:val="00A94CB4"/>
    <w:rsid w:val="00A94D60"/>
    <w:rsid w:val="00A94D7A"/>
    <w:rsid w:val="00A94FE7"/>
    <w:rsid w:val="00A95157"/>
    <w:rsid w:val="00A952B4"/>
    <w:rsid w:val="00A95709"/>
    <w:rsid w:val="00A95A9C"/>
    <w:rsid w:val="00A95B5E"/>
    <w:rsid w:val="00A95CD6"/>
    <w:rsid w:val="00A963CA"/>
    <w:rsid w:val="00A965C5"/>
    <w:rsid w:val="00A9688B"/>
    <w:rsid w:val="00A9692E"/>
    <w:rsid w:val="00A96F91"/>
    <w:rsid w:val="00A97224"/>
    <w:rsid w:val="00A97E13"/>
    <w:rsid w:val="00A97FA8"/>
    <w:rsid w:val="00AA02FF"/>
    <w:rsid w:val="00AA03B2"/>
    <w:rsid w:val="00AA04C3"/>
    <w:rsid w:val="00AA0602"/>
    <w:rsid w:val="00AA0726"/>
    <w:rsid w:val="00AA07DE"/>
    <w:rsid w:val="00AA09E0"/>
    <w:rsid w:val="00AA0D06"/>
    <w:rsid w:val="00AA105B"/>
    <w:rsid w:val="00AA10F0"/>
    <w:rsid w:val="00AA16C2"/>
    <w:rsid w:val="00AA1C70"/>
    <w:rsid w:val="00AA1DA2"/>
    <w:rsid w:val="00AA278E"/>
    <w:rsid w:val="00AA282C"/>
    <w:rsid w:val="00AA297C"/>
    <w:rsid w:val="00AA2A35"/>
    <w:rsid w:val="00AA2B8B"/>
    <w:rsid w:val="00AA2B9C"/>
    <w:rsid w:val="00AA2C95"/>
    <w:rsid w:val="00AA2FAB"/>
    <w:rsid w:val="00AA313B"/>
    <w:rsid w:val="00AA31C2"/>
    <w:rsid w:val="00AA3A38"/>
    <w:rsid w:val="00AA3C9A"/>
    <w:rsid w:val="00AA4066"/>
    <w:rsid w:val="00AA4263"/>
    <w:rsid w:val="00AA4423"/>
    <w:rsid w:val="00AA466C"/>
    <w:rsid w:val="00AA4694"/>
    <w:rsid w:val="00AA46B6"/>
    <w:rsid w:val="00AA4991"/>
    <w:rsid w:val="00AA4AE8"/>
    <w:rsid w:val="00AA4DF3"/>
    <w:rsid w:val="00AA5275"/>
    <w:rsid w:val="00AA56D8"/>
    <w:rsid w:val="00AA5771"/>
    <w:rsid w:val="00AA57B6"/>
    <w:rsid w:val="00AA595C"/>
    <w:rsid w:val="00AA5F87"/>
    <w:rsid w:val="00AA6195"/>
    <w:rsid w:val="00AA657E"/>
    <w:rsid w:val="00AA66AA"/>
    <w:rsid w:val="00AA6835"/>
    <w:rsid w:val="00AA68DE"/>
    <w:rsid w:val="00AA6907"/>
    <w:rsid w:val="00AA6A16"/>
    <w:rsid w:val="00AA6EA7"/>
    <w:rsid w:val="00AA7DE3"/>
    <w:rsid w:val="00AA7E64"/>
    <w:rsid w:val="00AA7FF8"/>
    <w:rsid w:val="00AB0010"/>
    <w:rsid w:val="00AB0B49"/>
    <w:rsid w:val="00AB0F72"/>
    <w:rsid w:val="00AB13A7"/>
    <w:rsid w:val="00AB149F"/>
    <w:rsid w:val="00AB1621"/>
    <w:rsid w:val="00AB1864"/>
    <w:rsid w:val="00AB1AEC"/>
    <w:rsid w:val="00AB1BD1"/>
    <w:rsid w:val="00AB2165"/>
    <w:rsid w:val="00AB21C4"/>
    <w:rsid w:val="00AB21EB"/>
    <w:rsid w:val="00AB2384"/>
    <w:rsid w:val="00AB258D"/>
    <w:rsid w:val="00AB25E0"/>
    <w:rsid w:val="00AB277B"/>
    <w:rsid w:val="00AB2AE0"/>
    <w:rsid w:val="00AB2B65"/>
    <w:rsid w:val="00AB2B69"/>
    <w:rsid w:val="00AB2D1C"/>
    <w:rsid w:val="00AB2F88"/>
    <w:rsid w:val="00AB2FC8"/>
    <w:rsid w:val="00AB3075"/>
    <w:rsid w:val="00AB315D"/>
    <w:rsid w:val="00AB33B1"/>
    <w:rsid w:val="00AB3407"/>
    <w:rsid w:val="00AB3490"/>
    <w:rsid w:val="00AB39B4"/>
    <w:rsid w:val="00AB3A4F"/>
    <w:rsid w:val="00AB3C74"/>
    <w:rsid w:val="00AB3CC6"/>
    <w:rsid w:val="00AB3DB9"/>
    <w:rsid w:val="00AB3FC8"/>
    <w:rsid w:val="00AB408C"/>
    <w:rsid w:val="00AB4184"/>
    <w:rsid w:val="00AB41FA"/>
    <w:rsid w:val="00AB4265"/>
    <w:rsid w:val="00AB4392"/>
    <w:rsid w:val="00AB444E"/>
    <w:rsid w:val="00AB4486"/>
    <w:rsid w:val="00AB44AD"/>
    <w:rsid w:val="00AB46A1"/>
    <w:rsid w:val="00AB4C5F"/>
    <w:rsid w:val="00AB51AB"/>
    <w:rsid w:val="00AB548E"/>
    <w:rsid w:val="00AB5D76"/>
    <w:rsid w:val="00AB6946"/>
    <w:rsid w:val="00AB6EAB"/>
    <w:rsid w:val="00AB6EC6"/>
    <w:rsid w:val="00AB6EED"/>
    <w:rsid w:val="00AB6F61"/>
    <w:rsid w:val="00AB70D2"/>
    <w:rsid w:val="00AB714D"/>
    <w:rsid w:val="00AB741A"/>
    <w:rsid w:val="00AB74ED"/>
    <w:rsid w:val="00AB781E"/>
    <w:rsid w:val="00AC0180"/>
    <w:rsid w:val="00AC0293"/>
    <w:rsid w:val="00AC059B"/>
    <w:rsid w:val="00AC05C3"/>
    <w:rsid w:val="00AC06C4"/>
    <w:rsid w:val="00AC08EF"/>
    <w:rsid w:val="00AC0960"/>
    <w:rsid w:val="00AC0CFE"/>
    <w:rsid w:val="00AC0EE6"/>
    <w:rsid w:val="00AC1049"/>
    <w:rsid w:val="00AC13DF"/>
    <w:rsid w:val="00AC156C"/>
    <w:rsid w:val="00AC1A99"/>
    <w:rsid w:val="00AC1AD2"/>
    <w:rsid w:val="00AC22BB"/>
    <w:rsid w:val="00AC28F5"/>
    <w:rsid w:val="00AC2A76"/>
    <w:rsid w:val="00AC2E2C"/>
    <w:rsid w:val="00AC3013"/>
    <w:rsid w:val="00AC3413"/>
    <w:rsid w:val="00AC37D2"/>
    <w:rsid w:val="00AC3F30"/>
    <w:rsid w:val="00AC3F7A"/>
    <w:rsid w:val="00AC3FA3"/>
    <w:rsid w:val="00AC3FF9"/>
    <w:rsid w:val="00AC400D"/>
    <w:rsid w:val="00AC4541"/>
    <w:rsid w:val="00AC4780"/>
    <w:rsid w:val="00AC479E"/>
    <w:rsid w:val="00AC4917"/>
    <w:rsid w:val="00AC4DB1"/>
    <w:rsid w:val="00AC50D1"/>
    <w:rsid w:val="00AC58BA"/>
    <w:rsid w:val="00AC5D92"/>
    <w:rsid w:val="00AC5E40"/>
    <w:rsid w:val="00AC60F1"/>
    <w:rsid w:val="00AC6124"/>
    <w:rsid w:val="00AC646D"/>
    <w:rsid w:val="00AC6923"/>
    <w:rsid w:val="00AC696F"/>
    <w:rsid w:val="00AC6B50"/>
    <w:rsid w:val="00AC6C34"/>
    <w:rsid w:val="00AC6E32"/>
    <w:rsid w:val="00AC73BC"/>
    <w:rsid w:val="00AC75BA"/>
    <w:rsid w:val="00AC75EE"/>
    <w:rsid w:val="00AC7660"/>
    <w:rsid w:val="00AC7808"/>
    <w:rsid w:val="00AC7841"/>
    <w:rsid w:val="00AC790C"/>
    <w:rsid w:val="00AC7C20"/>
    <w:rsid w:val="00AD0143"/>
    <w:rsid w:val="00AD021D"/>
    <w:rsid w:val="00AD04FB"/>
    <w:rsid w:val="00AD06D1"/>
    <w:rsid w:val="00AD0928"/>
    <w:rsid w:val="00AD0A3E"/>
    <w:rsid w:val="00AD0C49"/>
    <w:rsid w:val="00AD0CC7"/>
    <w:rsid w:val="00AD0EC8"/>
    <w:rsid w:val="00AD13CD"/>
    <w:rsid w:val="00AD1618"/>
    <w:rsid w:val="00AD1737"/>
    <w:rsid w:val="00AD1A38"/>
    <w:rsid w:val="00AD1A8C"/>
    <w:rsid w:val="00AD1FF0"/>
    <w:rsid w:val="00AD20CF"/>
    <w:rsid w:val="00AD2394"/>
    <w:rsid w:val="00AD28EA"/>
    <w:rsid w:val="00AD2C76"/>
    <w:rsid w:val="00AD2E1D"/>
    <w:rsid w:val="00AD2F9D"/>
    <w:rsid w:val="00AD30FF"/>
    <w:rsid w:val="00AD41E9"/>
    <w:rsid w:val="00AD442D"/>
    <w:rsid w:val="00AD467E"/>
    <w:rsid w:val="00AD4CA1"/>
    <w:rsid w:val="00AD4F27"/>
    <w:rsid w:val="00AD52C1"/>
    <w:rsid w:val="00AD5412"/>
    <w:rsid w:val="00AD5416"/>
    <w:rsid w:val="00AD54A6"/>
    <w:rsid w:val="00AD593C"/>
    <w:rsid w:val="00AD5B73"/>
    <w:rsid w:val="00AD5C57"/>
    <w:rsid w:val="00AD5F71"/>
    <w:rsid w:val="00AD6044"/>
    <w:rsid w:val="00AD665F"/>
    <w:rsid w:val="00AD6998"/>
    <w:rsid w:val="00AD6B85"/>
    <w:rsid w:val="00AD6DB6"/>
    <w:rsid w:val="00AD6E0A"/>
    <w:rsid w:val="00AD6F26"/>
    <w:rsid w:val="00AD73A6"/>
    <w:rsid w:val="00AD7BA3"/>
    <w:rsid w:val="00AD7DB1"/>
    <w:rsid w:val="00AE03B2"/>
    <w:rsid w:val="00AE03D2"/>
    <w:rsid w:val="00AE0929"/>
    <w:rsid w:val="00AE0BA6"/>
    <w:rsid w:val="00AE0BD7"/>
    <w:rsid w:val="00AE0C30"/>
    <w:rsid w:val="00AE0ED2"/>
    <w:rsid w:val="00AE1061"/>
    <w:rsid w:val="00AE1071"/>
    <w:rsid w:val="00AE1170"/>
    <w:rsid w:val="00AE137E"/>
    <w:rsid w:val="00AE162B"/>
    <w:rsid w:val="00AE1A18"/>
    <w:rsid w:val="00AE2034"/>
    <w:rsid w:val="00AE24B1"/>
    <w:rsid w:val="00AE2606"/>
    <w:rsid w:val="00AE26A3"/>
    <w:rsid w:val="00AE2B2E"/>
    <w:rsid w:val="00AE2BD7"/>
    <w:rsid w:val="00AE2E3D"/>
    <w:rsid w:val="00AE31AB"/>
    <w:rsid w:val="00AE37CC"/>
    <w:rsid w:val="00AE3BF0"/>
    <w:rsid w:val="00AE3EA1"/>
    <w:rsid w:val="00AE3F39"/>
    <w:rsid w:val="00AE42CA"/>
    <w:rsid w:val="00AE4C16"/>
    <w:rsid w:val="00AE5090"/>
    <w:rsid w:val="00AE5257"/>
    <w:rsid w:val="00AE527F"/>
    <w:rsid w:val="00AE56E4"/>
    <w:rsid w:val="00AE5AB0"/>
    <w:rsid w:val="00AE5BA1"/>
    <w:rsid w:val="00AE5BC0"/>
    <w:rsid w:val="00AE60AB"/>
    <w:rsid w:val="00AE614A"/>
    <w:rsid w:val="00AE618A"/>
    <w:rsid w:val="00AE6229"/>
    <w:rsid w:val="00AE63BF"/>
    <w:rsid w:val="00AE68CC"/>
    <w:rsid w:val="00AE699E"/>
    <w:rsid w:val="00AE74B5"/>
    <w:rsid w:val="00AE7819"/>
    <w:rsid w:val="00AE7841"/>
    <w:rsid w:val="00AE7B2B"/>
    <w:rsid w:val="00AE7FB0"/>
    <w:rsid w:val="00AF0460"/>
    <w:rsid w:val="00AF089C"/>
    <w:rsid w:val="00AF08EB"/>
    <w:rsid w:val="00AF0B07"/>
    <w:rsid w:val="00AF0BC2"/>
    <w:rsid w:val="00AF0D49"/>
    <w:rsid w:val="00AF1286"/>
    <w:rsid w:val="00AF174C"/>
    <w:rsid w:val="00AF1814"/>
    <w:rsid w:val="00AF1A98"/>
    <w:rsid w:val="00AF1B05"/>
    <w:rsid w:val="00AF1C9D"/>
    <w:rsid w:val="00AF1E5E"/>
    <w:rsid w:val="00AF2002"/>
    <w:rsid w:val="00AF201D"/>
    <w:rsid w:val="00AF20BE"/>
    <w:rsid w:val="00AF25EE"/>
    <w:rsid w:val="00AF2751"/>
    <w:rsid w:val="00AF29FE"/>
    <w:rsid w:val="00AF2AB5"/>
    <w:rsid w:val="00AF2B44"/>
    <w:rsid w:val="00AF2EA2"/>
    <w:rsid w:val="00AF3005"/>
    <w:rsid w:val="00AF33C6"/>
    <w:rsid w:val="00AF36AC"/>
    <w:rsid w:val="00AF3B3C"/>
    <w:rsid w:val="00AF3DD4"/>
    <w:rsid w:val="00AF3DE3"/>
    <w:rsid w:val="00AF3F67"/>
    <w:rsid w:val="00AF4ADF"/>
    <w:rsid w:val="00AF4DF7"/>
    <w:rsid w:val="00AF4E72"/>
    <w:rsid w:val="00AF4E89"/>
    <w:rsid w:val="00AF4F56"/>
    <w:rsid w:val="00AF531E"/>
    <w:rsid w:val="00AF5444"/>
    <w:rsid w:val="00AF5780"/>
    <w:rsid w:val="00AF5A52"/>
    <w:rsid w:val="00AF5EF5"/>
    <w:rsid w:val="00AF60B5"/>
    <w:rsid w:val="00AF66A0"/>
    <w:rsid w:val="00AF66B8"/>
    <w:rsid w:val="00AF6716"/>
    <w:rsid w:val="00AF6744"/>
    <w:rsid w:val="00AF693A"/>
    <w:rsid w:val="00AF69DA"/>
    <w:rsid w:val="00AF69F5"/>
    <w:rsid w:val="00AF6AFE"/>
    <w:rsid w:val="00AF6E64"/>
    <w:rsid w:val="00AF7169"/>
    <w:rsid w:val="00AF74AA"/>
    <w:rsid w:val="00AF74AE"/>
    <w:rsid w:val="00AF784E"/>
    <w:rsid w:val="00AF7CCE"/>
    <w:rsid w:val="00AF7E7F"/>
    <w:rsid w:val="00AF7F63"/>
    <w:rsid w:val="00B0004A"/>
    <w:rsid w:val="00B00158"/>
    <w:rsid w:val="00B001C5"/>
    <w:rsid w:val="00B002B3"/>
    <w:rsid w:val="00B00564"/>
    <w:rsid w:val="00B00577"/>
    <w:rsid w:val="00B007EB"/>
    <w:rsid w:val="00B00852"/>
    <w:rsid w:val="00B009F8"/>
    <w:rsid w:val="00B00BF7"/>
    <w:rsid w:val="00B00D3C"/>
    <w:rsid w:val="00B00FF6"/>
    <w:rsid w:val="00B01739"/>
    <w:rsid w:val="00B01C6D"/>
    <w:rsid w:val="00B01E38"/>
    <w:rsid w:val="00B0209B"/>
    <w:rsid w:val="00B021B2"/>
    <w:rsid w:val="00B02406"/>
    <w:rsid w:val="00B0243B"/>
    <w:rsid w:val="00B0295D"/>
    <w:rsid w:val="00B02A64"/>
    <w:rsid w:val="00B02EAD"/>
    <w:rsid w:val="00B03061"/>
    <w:rsid w:val="00B031F9"/>
    <w:rsid w:val="00B03452"/>
    <w:rsid w:val="00B03674"/>
    <w:rsid w:val="00B0387C"/>
    <w:rsid w:val="00B03A6A"/>
    <w:rsid w:val="00B03B55"/>
    <w:rsid w:val="00B03BF1"/>
    <w:rsid w:val="00B03F1A"/>
    <w:rsid w:val="00B0414C"/>
    <w:rsid w:val="00B043CF"/>
    <w:rsid w:val="00B04995"/>
    <w:rsid w:val="00B04A72"/>
    <w:rsid w:val="00B04E26"/>
    <w:rsid w:val="00B04E39"/>
    <w:rsid w:val="00B04EC7"/>
    <w:rsid w:val="00B0505E"/>
    <w:rsid w:val="00B051D5"/>
    <w:rsid w:val="00B05292"/>
    <w:rsid w:val="00B05367"/>
    <w:rsid w:val="00B053E1"/>
    <w:rsid w:val="00B054CD"/>
    <w:rsid w:val="00B05C7C"/>
    <w:rsid w:val="00B05D0A"/>
    <w:rsid w:val="00B0660D"/>
    <w:rsid w:val="00B069E6"/>
    <w:rsid w:val="00B06A21"/>
    <w:rsid w:val="00B06C42"/>
    <w:rsid w:val="00B0705D"/>
    <w:rsid w:val="00B071DA"/>
    <w:rsid w:val="00B072F4"/>
    <w:rsid w:val="00B07340"/>
    <w:rsid w:val="00B0755F"/>
    <w:rsid w:val="00B07644"/>
    <w:rsid w:val="00B07B02"/>
    <w:rsid w:val="00B07B91"/>
    <w:rsid w:val="00B104E2"/>
    <w:rsid w:val="00B10C27"/>
    <w:rsid w:val="00B10C28"/>
    <w:rsid w:val="00B10C43"/>
    <w:rsid w:val="00B10DEB"/>
    <w:rsid w:val="00B114EE"/>
    <w:rsid w:val="00B11502"/>
    <w:rsid w:val="00B11642"/>
    <w:rsid w:val="00B119C9"/>
    <w:rsid w:val="00B11EEE"/>
    <w:rsid w:val="00B11FD6"/>
    <w:rsid w:val="00B12001"/>
    <w:rsid w:val="00B120CC"/>
    <w:rsid w:val="00B12470"/>
    <w:rsid w:val="00B125CE"/>
    <w:rsid w:val="00B1266E"/>
    <w:rsid w:val="00B12F1D"/>
    <w:rsid w:val="00B12FE1"/>
    <w:rsid w:val="00B1316A"/>
    <w:rsid w:val="00B132C4"/>
    <w:rsid w:val="00B138A8"/>
    <w:rsid w:val="00B13CEE"/>
    <w:rsid w:val="00B13DA0"/>
    <w:rsid w:val="00B142F4"/>
    <w:rsid w:val="00B143F7"/>
    <w:rsid w:val="00B14568"/>
    <w:rsid w:val="00B147AE"/>
    <w:rsid w:val="00B147BA"/>
    <w:rsid w:val="00B14ACC"/>
    <w:rsid w:val="00B14C31"/>
    <w:rsid w:val="00B14E3F"/>
    <w:rsid w:val="00B14ED6"/>
    <w:rsid w:val="00B14F6F"/>
    <w:rsid w:val="00B150AA"/>
    <w:rsid w:val="00B151C6"/>
    <w:rsid w:val="00B15264"/>
    <w:rsid w:val="00B153DB"/>
    <w:rsid w:val="00B15795"/>
    <w:rsid w:val="00B15D2D"/>
    <w:rsid w:val="00B15DEB"/>
    <w:rsid w:val="00B15F76"/>
    <w:rsid w:val="00B15F7D"/>
    <w:rsid w:val="00B16129"/>
    <w:rsid w:val="00B16166"/>
    <w:rsid w:val="00B16B87"/>
    <w:rsid w:val="00B16BBF"/>
    <w:rsid w:val="00B16BFD"/>
    <w:rsid w:val="00B16C54"/>
    <w:rsid w:val="00B16E7D"/>
    <w:rsid w:val="00B172BD"/>
    <w:rsid w:val="00B174F7"/>
    <w:rsid w:val="00B17BBC"/>
    <w:rsid w:val="00B17CE0"/>
    <w:rsid w:val="00B17DAB"/>
    <w:rsid w:val="00B17FF0"/>
    <w:rsid w:val="00B20256"/>
    <w:rsid w:val="00B203BC"/>
    <w:rsid w:val="00B204F1"/>
    <w:rsid w:val="00B2077B"/>
    <w:rsid w:val="00B2083E"/>
    <w:rsid w:val="00B20861"/>
    <w:rsid w:val="00B20C46"/>
    <w:rsid w:val="00B21616"/>
    <w:rsid w:val="00B218CE"/>
    <w:rsid w:val="00B21935"/>
    <w:rsid w:val="00B219F9"/>
    <w:rsid w:val="00B21C7D"/>
    <w:rsid w:val="00B21DAE"/>
    <w:rsid w:val="00B21E89"/>
    <w:rsid w:val="00B22443"/>
    <w:rsid w:val="00B224FE"/>
    <w:rsid w:val="00B225A6"/>
    <w:rsid w:val="00B22924"/>
    <w:rsid w:val="00B22944"/>
    <w:rsid w:val="00B22C55"/>
    <w:rsid w:val="00B22E97"/>
    <w:rsid w:val="00B23221"/>
    <w:rsid w:val="00B23312"/>
    <w:rsid w:val="00B238B5"/>
    <w:rsid w:val="00B23E5C"/>
    <w:rsid w:val="00B23E74"/>
    <w:rsid w:val="00B23FEA"/>
    <w:rsid w:val="00B241F7"/>
    <w:rsid w:val="00B244D2"/>
    <w:rsid w:val="00B2475D"/>
    <w:rsid w:val="00B2499D"/>
    <w:rsid w:val="00B24AF4"/>
    <w:rsid w:val="00B24C6C"/>
    <w:rsid w:val="00B24E11"/>
    <w:rsid w:val="00B255CE"/>
    <w:rsid w:val="00B257C9"/>
    <w:rsid w:val="00B25C2B"/>
    <w:rsid w:val="00B25C57"/>
    <w:rsid w:val="00B25D59"/>
    <w:rsid w:val="00B25D74"/>
    <w:rsid w:val="00B262B8"/>
    <w:rsid w:val="00B2640A"/>
    <w:rsid w:val="00B266B2"/>
    <w:rsid w:val="00B26BBA"/>
    <w:rsid w:val="00B26BE1"/>
    <w:rsid w:val="00B26BE4"/>
    <w:rsid w:val="00B26C9A"/>
    <w:rsid w:val="00B26E38"/>
    <w:rsid w:val="00B27797"/>
    <w:rsid w:val="00B27A0F"/>
    <w:rsid w:val="00B27F65"/>
    <w:rsid w:val="00B30340"/>
    <w:rsid w:val="00B3050B"/>
    <w:rsid w:val="00B30525"/>
    <w:rsid w:val="00B30622"/>
    <w:rsid w:val="00B3077D"/>
    <w:rsid w:val="00B30923"/>
    <w:rsid w:val="00B30EFF"/>
    <w:rsid w:val="00B30FD2"/>
    <w:rsid w:val="00B3136B"/>
    <w:rsid w:val="00B31697"/>
    <w:rsid w:val="00B31FEA"/>
    <w:rsid w:val="00B3219D"/>
    <w:rsid w:val="00B323FE"/>
    <w:rsid w:val="00B32CA6"/>
    <w:rsid w:val="00B32E26"/>
    <w:rsid w:val="00B32E82"/>
    <w:rsid w:val="00B32E93"/>
    <w:rsid w:val="00B32FDE"/>
    <w:rsid w:val="00B330CF"/>
    <w:rsid w:val="00B332FB"/>
    <w:rsid w:val="00B333D5"/>
    <w:rsid w:val="00B3349A"/>
    <w:rsid w:val="00B337D0"/>
    <w:rsid w:val="00B33D45"/>
    <w:rsid w:val="00B33E66"/>
    <w:rsid w:val="00B3405C"/>
    <w:rsid w:val="00B344B8"/>
    <w:rsid w:val="00B346E7"/>
    <w:rsid w:val="00B34B2C"/>
    <w:rsid w:val="00B34BB3"/>
    <w:rsid w:val="00B350F5"/>
    <w:rsid w:val="00B35161"/>
    <w:rsid w:val="00B352B6"/>
    <w:rsid w:val="00B3563F"/>
    <w:rsid w:val="00B3571A"/>
    <w:rsid w:val="00B358D7"/>
    <w:rsid w:val="00B35B93"/>
    <w:rsid w:val="00B35D45"/>
    <w:rsid w:val="00B36004"/>
    <w:rsid w:val="00B365BA"/>
    <w:rsid w:val="00B36ACC"/>
    <w:rsid w:val="00B36C88"/>
    <w:rsid w:val="00B36D61"/>
    <w:rsid w:val="00B37276"/>
    <w:rsid w:val="00B373E8"/>
    <w:rsid w:val="00B37496"/>
    <w:rsid w:val="00B401F5"/>
    <w:rsid w:val="00B40317"/>
    <w:rsid w:val="00B4038C"/>
    <w:rsid w:val="00B40BD0"/>
    <w:rsid w:val="00B40CA7"/>
    <w:rsid w:val="00B40CDC"/>
    <w:rsid w:val="00B40DF3"/>
    <w:rsid w:val="00B41146"/>
    <w:rsid w:val="00B4115E"/>
    <w:rsid w:val="00B412F7"/>
    <w:rsid w:val="00B41316"/>
    <w:rsid w:val="00B417CE"/>
    <w:rsid w:val="00B417DD"/>
    <w:rsid w:val="00B41A70"/>
    <w:rsid w:val="00B41D10"/>
    <w:rsid w:val="00B41D71"/>
    <w:rsid w:val="00B42384"/>
    <w:rsid w:val="00B42641"/>
    <w:rsid w:val="00B42918"/>
    <w:rsid w:val="00B42DBC"/>
    <w:rsid w:val="00B430AA"/>
    <w:rsid w:val="00B4322D"/>
    <w:rsid w:val="00B4325B"/>
    <w:rsid w:val="00B43666"/>
    <w:rsid w:val="00B437A8"/>
    <w:rsid w:val="00B43D37"/>
    <w:rsid w:val="00B44011"/>
    <w:rsid w:val="00B44186"/>
    <w:rsid w:val="00B442E6"/>
    <w:rsid w:val="00B44770"/>
    <w:rsid w:val="00B448FE"/>
    <w:rsid w:val="00B44954"/>
    <w:rsid w:val="00B44C59"/>
    <w:rsid w:val="00B44C61"/>
    <w:rsid w:val="00B44DDA"/>
    <w:rsid w:val="00B44EB1"/>
    <w:rsid w:val="00B44FB0"/>
    <w:rsid w:val="00B44FC3"/>
    <w:rsid w:val="00B4575B"/>
    <w:rsid w:val="00B459B5"/>
    <w:rsid w:val="00B45D3D"/>
    <w:rsid w:val="00B45EE7"/>
    <w:rsid w:val="00B45EFB"/>
    <w:rsid w:val="00B46105"/>
    <w:rsid w:val="00B46731"/>
    <w:rsid w:val="00B467D8"/>
    <w:rsid w:val="00B46961"/>
    <w:rsid w:val="00B46AA0"/>
    <w:rsid w:val="00B46E71"/>
    <w:rsid w:val="00B472ED"/>
    <w:rsid w:val="00B473D7"/>
    <w:rsid w:val="00B47485"/>
    <w:rsid w:val="00B474EF"/>
    <w:rsid w:val="00B47745"/>
    <w:rsid w:val="00B478FB"/>
    <w:rsid w:val="00B47C1A"/>
    <w:rsid w:val="00B5026D"/>
    <w:rsid w:val="00B50AC3"/>
    <w:rsid w:val="00B50C0E"/>
    <w:rsid w:val="00B50D48"/>
    <w:rsid w:val="00B512B9"/>
    <w:rsid w:val="00B5138B"/>
    <w:rsid w:val="00B517C3"/>
    <w:rsid w:val="00B5196D"/>
    <w:rsid w:val="00B51A12"/>
    <w:rsid w:val="00B520B9"/>
    <w:rsid w:val="00B524A5"/>
    <w:rsid w:val="00B524E8"/>
    <w:rsid w:val="00B525D6"/>
    <w:rsid w:val="00B5287D"/>
    <w:rsid w:val="00B528E4"/>
    <w:rsid w:val="00B52A09"/>
    <w:rsid w:val="00B52AC8"/>
    <w:rsid w:val="00B52B0C"/>
    <w:rsid w:val="00B52B6C"/>
    <w:rsid w:val="00B52B94"/>
    <w:rsid w:val="00B52C3C"/>
    <w:rsid w:val="00B52E99"/>
    <w:rsid w:val="00B5313C"/>
    <w:rsid w:val="00B531B5"/>
    <w:rsid w:val="00B53230"/>
    <w:rsid w:val="00B5332B"/>
    <w:rsid w:val="00B5357B"/>
    <w:rsid w:val="00B53A4A"/>
    <w:rsid w:val="00B53A66"/>
    <w:rsid w:val="00B53ACC"/>
    <w:rsid w:val="00B53B7B"/>
    <w:rsid w:val="00B53B7C"/>
    <w:rsid w:val="00B54076"/>
    <w:rsid w:val="00B54326"/>
    <w:rsid w:val="00B54A29"/>
    <w:rsid w:val="00B54ABE"/>
    <w:rsid w:val="00B54C19"/>
    <w:rsid w:val="00B54EFA"/>
    <w:rsid w:val="00B5503E"/>
    <w:rsid w:val="00B55567"/>
    <w:rsid w:val="00B55819"/>
    <w:rsid w:val="00B55AB3"/>
    <w:rsid w:val="00B55AF0"/>
    <w:rsid w:val="00B55B0E"/>
    <w:rsid w:val="00B55E25"/>
    <w:rsid w:val="00B56277"/>
    <w:rsid w:val="00B562D9"/>
    <w:rsid w:val="00B56680"/>
    <w:rsid w:val="00B56CBF"/>
    <w:rsid w:val="00B56CDB"/>
    <w:rsid w:val="00B56E32"/>
    <w:rsid w:val="00B577E3"/>
    <w:rsid w:val="00B5789D"/>
    <w:rsid w:val="00B57B3E"/>
    <w:rsid w:val="00B57C08"/>
    <w:rsid w:val="00B57D4D"/>
    <w:rsid w:val="00B604CE"/>
    <w:rsid w:val="00B604F8"/>
    <w:rsid w:val="00B607E0"/>
    <w:rsid w:val="00B60854"/>
    <w:rsid w:val="00B60F80"/>
    <w:rsid w:val="00B610C3"/>
    <w:rsid w:val="00B613FE"/>
    <w:rsid w:val="00B61405"/>
    <w:rsid w:val="00B61485"/>
    <w:rsid w:val="00B6151B"/>
    <w:rsid w:val="00B6187C"/>
    <w:rsid w:val="00B61B64"/>
    <w:rsid w:val="00B61B73"/>
    <w:rsid w:val="00B61BBA"/>
    <w:rsid w:val="00B61BD8"/>
    <w:rsid w:val="00B61C1F"/>
    <w:rsid w:val="00B61E90"/>
    <w:rsid w:val="00B62473"/>
    <w:rsid w:val="00B629EE"/>
    <w:rsid w:val="00B62D05"/>
    <w:rsid w:val="00B62E1A"/>
    <w:rsid w:val="00B62ED1"/>
    <w:rsid w:val="00B6328E"/>
    <w:rsid w:val="00B633A6"/>
    <w:rsid w:val="00B63581"/>
    <w:rsid w:val="00B63F71"/>
    <w:rsid w:val="00B6410F"/>
    <w:rsid w:val="00B64188"/>
    <w:rsid w:val="00B64291"/>
    <w:rsid w:val="00B64817"/>
    <w:rsid w:val="00B64986"/>
    <w:rsid w:val="00B64E8E"/>
    <w:rsid w:val="00B64EE0"/>
    <w:rsid w:val="00B65614"/>
    <w:rsid w:val="00B65678"/>
    <w:rsid w:val="00B656BE"/>
    <w:rsid w:val="00B658E7"/>
    <w:rsid w:val="00B659C8"/>
    <w:rsid w:val="00B65E7F"/>
    <w:rsid w:val="00B65FDB"/>
    <w:rsid w:val="00B661A2"/>
    <w:rsid w:val="00B661FE"/>
    <w:rsid w:val="00B666FA"/>
    <w:rsid w:val="00B6672B"/>
    <w:rsid w:val="00B66DAD"/>
    <w:rsid w:val="00B671B5"/>
    <w:rsid w:val="00B6736E"/>
    <w:rsid w:val="00B67637"/>
    <w:rsid w:val="00B67675"/>
    <w:rsid w:val="00B67676"/>
    <w:rsid w:val="00B67AB3"/>
    <w:rsid w:val="00B70012"/>
    <w:rsid w:val="00B70357"/>
    <w:rsid w:val="00B703F8"/>
    <w:rsid w:val="00B705E1"/>
    <w:rsid w:val="00B70AD9"/>
    <w:rsid w:val="00B70FA6"/>
    <w:rsid w:val="00B7124C"/>
    <w:rsid w:val="00B71382"/>
    <w:rsid w:val="00B71997"/>
    <w:rsid w:val="00B71B6C"/>
    <w:rsid w:val="00B71F6D"/>
    <w:rsid w:val="00B72392"/>
    <w:rsid w:val="00B72414"/>
    <w:rsid w:val="00B724F1"/>
    <w:rsid w:val="00B7250A"/>
    <w:rsid w:val="00B726FF"/>
    <w:rsid w:val="00B727C9"/>
    <w:rsid w:val="00B728FA"/>
    <w:rsid w:val="00B72921"/>
    <w:rsid w:val="00B72985"/>
    <w:rsid w:val="00B729F1"/>
    <w:rsid w:val="00B72BB8"/>
    <w:rsid w:val="00B72DB5"/>
    <w:rsid w:val="00B733CA"/>
    <w:rsid w:val="00B73728"/>
    <w:rsid w:val="00B73818"/>
    <w:rsid w:val="00B73A0A"/>
    <w:rsid w:val="00B73B49"/>
    <w:rsid w:val="00B73FBD"/>
    <w:rsid w:val="00B7405F"/>
    <w:rsid w:val="00B74157"/>
    <w:rsid w:val="00B7451E"/>
    <w:rsid w:val="00B74E0B"/>
    <w:rsid w:val="00B74FC9"/>
    <w:rsid w:val="00B752D2"/>
    <w:rsid w:val="00B75465"/>
    <w:rsid w:val="00B75699"/>
    <w:rsid w:val="00B756C3"/>
    <w:rsid w:val="00B756D8"/>
    <w:rsid w:val="00B759D2"/>
    <w:rsid w:val="00B75BE8"/>
    <w:rsid w:val="00B76381"/>
    <w:rsid w:val="00B76465"/>
    <w:rsid w:val="00B76499"/>
    <w:rsid w:val="00B76594"/>
    <w:rsid w:val="00B7664C"/>
    <w:rsid w:val="00B769B7"/>
    <w:rsid w:val="00B76B34"/>
    <w:rsid w:val="00B76FC7"/>
    <w:rsid w:val="00B7717A"/>
    <w:rsid w:val="00B77288"/>
    <w:rsid w:val="00B773E6"/>
    <w:rsid w:val="00B77624"/>
    <w:rsid w:val="00B77743"/>
    <w:rsid w:val="00B77773"/>
    <w:rsid w:val="00B77792"/>
    <w:rsid w:val="00B7795A"/>
    <w:rsid w:val="00B779FD"/>
    <w:rsid w:val="00B77A6F"/>
    <w:rsid w:val="00B77BA3"/>
    <w:rsid w:val="00B77EA6"/>
    <w:rsid w:val="00B80048"/>
    <w:rsid w:val="00B80055"/>
    <w:rsid w:val="00B806AB"/>
    <w:rsid w:val="00B80722"/>
    <w:rsid w:val="00B80D5B"/>
    <w:rsid w:val="00B81032"/>
    <w:rsid w:val="00B81332"/>
    <w:rsid w:val="00B81C87"/>
    <w:rsid w:val="00B8207B"/>
    <w:rsid w:val="00B8226F"/>
    <w:rsid w:val="00B822CD"/>
    <w:rsid w:val="00B82433"/>
    <w:rsid w:val="00B82546"/>
    <w:rsid w:val="00B82E90"/>
    <w:rsid w:val="00B82FA5"/>
    <w:rsid w:val="00B830CD"/>
    <w:rsid w:val="00B837CB"/>
    <w:rsid w:val="00B83EB9"/>
    <w:rsid w:val="00B840BF"/>
    <w:rsid w:val="00B840D3"/>
    <w:rsid w:val="00B84151"/>
    <w:rsid w:val="00B841BC"/>
    <w:rsid w:val="00B846FD"/>
    <w:rsid w:val="00B847C7"/>
    <w:rsid w:val="00B84C5B"/>
    <w:rsid w:val="00B850F7"/>
    <w:rsid w:val="00B855E8"/>
    <w:rsid w:val="00B85927"/>
    <w:rsid w:val="00B8599A"/>
    <w:rsid w:val="00B85BDD"/>
    <w:rsid w:val="00B85E85"/>
    <w:rsid w:val="00B85F7D"/>
    <w:rsid w:val="00B866CA"/>
    <w:rsid w:val="00B868A2"/>
    <w:rsid w:val="00B86C67"/>
    <w:rsid w:val="00B872AA"/>
    <w:rsid w:val="00B87379"/>
    <w:rsid w:val="00B873B8"/>
    <w:rsid w:val="00B875F9"/>
    <w:rsid w:val="00B87638"/>
    <w:rsid w:val="00B87752"/>
    <w:rsid w:val="00B8795C"/>
    <w:rsid w:val="00B879A8"/>
    <w:rsid w:val="00B879BC"/>
    <w:rsid w:val="00B87B5B"/>
    <w:rsid w:val="00B87D95"/>
    <w:rsid w:val="00B87FC6"/>
    <w:rsid w:val="00B9012C"/>
    <w:rsid w:val="00B901C2"/>
    <w:rsid w:val="00B9033F"/>
    <w:rsid w:val="00B9058C"/>
    <w:rsid w:val="00B9063B"/>
    <w:rsid w:val="00B91196"/>
    <w:rsid w:val="00B9144A"/>
    <w:rsid w:val="00B91917"/>
    <w:rsid w:val="00B91985"/>
    <w:rsid w:val="00B91ABE"/>
    <w:rsid w:val="00B91B03"/>
    <w:rsid w:val="00B91C1A"/>
    <w:rsid w:val="00B91DC6"/>
    <w:rsid w:val="00B922BB"/>
    <w:rsid w:val="00B9275F"/>
    <w:rsid w:val="00B92888"/>
    <w:rsid w:val="00B93234"/>
    <w:rsid w:val="00B9332B"/>
    <w:rsid w:val="00B938B6"/>
    <w:rsid w:val="00B93A99"/>
    <w:rsid w:val="00B93E17"/>
    <w:rsid w:val="00B93EB7"/>
    <w:rsid w:val="00B9428E"/>
    <w:rsid w:val="00B94E4E"/>
    <w:rsid w:val="00B94ED6"/>
    <w:rsid w:val="00B9537C"/>
    <w:rsid w:val="00B95387"/>
    <w:rsid w:val="00B9578A"/>
    <w:rsid w:val="00B95B7E"/>
    <w:rsid w:val="00B95C03"/>
    <w:rsid w:val="00B95DFC"/>
    <w:rsid w:val="00B95E33"/>
    <w:rsid w:val="00B95F49"/>
    <w:rsid w:val="00B95FE2"/>
    <w:rsid w:val="00B965BE"/>
    <w:rsid w:val="00B969AF"/>
    <w:rsid w:val="00B969FD"/>
    <w:rsid w:val="00B96A19"/>
    <w:rsid w:val="00B96E03"/>
    <w:rsid w:val="00B96E59"/>
    <w:rsid w:val="00B96E95"/>
    <w:rsid w:val="00B96F7E"/>
    <w:rsid w:val="00B96F86"/>
    <w:rsid w:val="00B97071"/>
    <w:rsid w:val="00B97092"/>
    <w:rsid w:val="00B971F8"/>
    <w:rsid w:val="00B977EB"/>
    <w:rsid w:val="00B97AEE"/>
    <w:rsid w:val="00BA0064"/>
    <w:rsid w:val="00BA0618"/>
    <w:rsid w:val="00BA0907"/>
    <w:rsid w:val="00BA17EA"/>
    <w:rsid w:val="00BA1973"/>
    <w:rsid w:val="00BA1CD2"/>
    <w:rsid w:val="00BA1DFA"/>
    <w:rsid w:val="00BA1F2A"/>
    <w:rsid w:val="00BA1FD0"/>
    <w:rsid w:val="00BA2170"/>
    <w:rsid w:val="00BA2208"/>
    <w:rsid w:val="00BA23EA"/>
    <w:rsid w:val="00BA2BBB"/>
    <w:rsid w:val="00BA2E18"/>
    <w:rsid w:val="00BA301B"/>
    <w:rsid w:val="00BA3058"/>
    <w:rsid w:val="00BA31D2"/>
    <w:rsid w:val="00BA31DB"/>
    <w:rsid w:val="00BA3A41"/>
    <w:rsid w:val="00BA3AB7"/>
    <w:rsid w:val="00BA3D81"/>
    <w:rsid w:val="00BA401A"/>
    <w:rsid w:val="00BA4209"/>
    <w:rsid w:val="00BA4261"/>
    <w:rsid w:val="00BA45BD"/>
    <w:rsid w:val="00BA4B63"/>
    <w:rsid w:val="00BA518E"/>
    <w:rsid w:val="00BA5292"/>
    <w:rsid w:val="00BA5A28"/>
    <w:rsid w:val="00BA60A8"/>
    <w:rsid w:val="00BA62D5"/>
    <w:rsid w:val="00BA63E5"/>
    <w:rsid w:val="00BA6474"/>
    <w:rsid w:val="00BA6703"/>
    <w:rsid w:val="00BA67A1"/>
    <w:rsid w:val="00BA6B3E"/>
    <w:rsid w:val="00BA6BBB"/>
    <w:rsid w:val="00BA6E3E"/>
    <w:rsid w:val="00BA711B"/>
    <w:rsid w:val="00BA74D4"/>
    <w:rsid w:val="00BA759C"/>
    <w:rsid w:val="00BA791D"/>
    <w:rsid w:val="00BA7971"/>
    <w:rsid w:val="00BB075F"/>
    <w:rsid w:val="00BB0DD8"/>
    <w:rsid w:val="00BB10B6"/>
    <w:rsid w:val="00BB11BC"/>
    <w:rsid w:val="00BB135E"/>
    <w:rsid w:val="00BB147A"/>
    <w:rsid w:val="00BB1505"/>
    <w:rsid w:val="00BB1A99"/>
    <w:rsid w:val="00BB2648"/>
    <w:rsid w:val="00BB2834"/>
    <w:rsid w:val="00BB2D77"/>
    <w:rsid w:val="00BB3449"/>
    <w:rsid w:val="00BB3530"/>
    <w:rsid w:val="00BB361F"/>
    <w:rsid w:val="00BB390E"/>
    <w:rsid w:val="00BB3C18"/>
    <w:rsid w:val="00BB3C3F"/>
    <w:rsid w:val="00BB3CC7"/>
    <w:rsid w:val="00BB3DE1"/>
    <w:rsid w:val="00BB423E"/>
    <w:rsid w:val="00BB4768"/>
    <w:rsid w:val="00BB4AB3"/>
    <w:rsid w:val="00BB4E7B"/>
    <w:rsid w:val="00BB4ED9"/>
    <w:rsid w:val="00BB4FCD"/>
    <w:rsid w:val="00BB510A"/>
    <w:rsid w:val="00BB516F"/>
    <w:rsid w:val="00BB520F"/>
    <w:rsid w:val="00BB526D"/>
    <w:rsid w:val="00BB538C"/>
    <w:rsid w:val="00BB58F9"/>
    <w:rsid w:val="00BB59D4"/>
    <w:rsid w:val="00BB5A27"/>
    <w:rsid w:val="00BB5C9E"/>
    <w:rsid w:val="00BB5F7B"/>
    <w:rsid w:val="00BB62F1"/>
    <w:rsid w:val="00BB641D"/>
    <w:rsid w:val="00BB65D4"/>
    <w:rsid w:val="00BB668B"/>
    <w:rsid w:val="00BB6731"/>
    <w:rsid w:val="00BB6895"/>
    <w:rsid w:val="00BB68ED"/>
    <w:rsid w:val="00BB6A47"/>
    <w:rsid w:val="00BB6AF2"/>
    <w:rsid w:val="00BB6E05"/>
    <w:rsid w:val="00BB70E8"/>
    <w:rsid w:val="00BB74D0"/>
    <w:rsid w:val="00BB774A"/>
    <w:rsid w:val="00BB797F"/>
    <w:rsid w:val="00BB7F04"/>
    <w:rsid w:val="00BB7F77"/>
    <w:rsid w:val="00BC0209"/>
    <w:rsid w:val="00BC04BB"/>
    <w:rsid w:val="00BC0781"/>
    <w:rsid w:val="00BC0EAF"/>
    <w:rsid w:val="00BC1491"/>
    <w:rsid w:val="00BC1569"/>
    <w:rsid w:val="00BC175A"/>
    <w:rsid w:val="00BC1777"/>
    <w:rsid w:val="00BC1891"/>
    <w:rsid w:val="00BC1B65"/>
    <w:rsid w:val="00BC253C"/>
    <w:rsid w:val="00BC25B8"/>
    <w:rsid w:val="00BC2639"/>
    <w:rsid w:val="00BC2776"/>
    <w:rsid w:val="00BC281E"/>
    <w:rsid w:val="00BC28A2"/>
    <w:rsid w:val="00BC2976"/>
    <w:rsid w:val="00BC2ABF"/>
    <w:rsid w:val="00BC2F01"/>
    <w:rsid w:val="00BC3219"/>
    <w:rsid w:val="00BC327A"/>
    <w:rsid w:val="00BC357E"/>
    <w:rsid w:val="00BC35AB"/>
    <w:rsid w:val="00BC3A9A"/>
    <w:rsid w:val="00BC4086"/>
    <w:rsid w:val="00BC4175"/>
    <w:rsid w:val="00BC441A"/>
    <w:rsid w:val="00BC4836"/>
    <w:rsid w:val="00BC4ACD"/>
    <w:rsid w:val="00BC4AF9"/>
    <w:rsid w:val="00BC4B54"/>
    <w:rsid w:val="00BC4DFB"/>
    <w:rsid w:val="00BC4DFF"/>
    <w:rsid w:val="00BC527E"/>
    <w:rsid w:val="00BC533D"/>
    <w:rsid w:val="00BC5579"/>
    <w:rsid w:val="00BC5724"/>
    <w:rsid w:val="00BC5AD3"/>
    <w:rsid w:val="00BC5F1A"/>
    <w:rsid w:val="00BC5F47"/>
    <w:rsid w:val="00BC5FD1"/>
    <w:rsid w:val="00BC60B5"/>
    <w:rsid w:val="00BC61CC"/>
    <w:rsid w:val="00BC64E3"/>
    <w:rsid w:val="00BC67B2"/>
    <w:rsid w:val="00BC6881"/>
    <w:rsid w:val="00BC6A34"/>
    <w:rsid w:val="00BC7001"/>
    <w:rsid w:val="00BC7512"/>
    <w:rsid w:val="00BC76B6"/>
    <w:rsid w:val="00BC7D81"/>
    <w:rsid w:val="00BD00EB"/>
    <w:rsid w:val="00BD0103"/>
    <w:rsid w:val="00BD0391"/>
    <w:rsid w:val="00BD0822"/>
    <w:rsid w:val="00BD0E68"/>
    <w:rsid w:val="00BD131E"/>
    <w:rsid w:val="00BD137C"/>
    <w:rsid w:val="00BD152A"/>
    <w:rsid w:val="00BD1FDE"/>
    <w:rsid w:val="00BD20B8"/>
    <w:rsid w:val="00BD2145"/>
    <w:rsid w:val="00BD2170"/>
    <w:rsid w:val="00BD2B29"/>
    <w:rsid w:val="00BD2CCC"/>
    <w:rsid w:val="00BD3029"/>
    <w:rsid w:val="00BD317B"/>
    <w:rsid w:val="00BD32EA"/>
    <w:rsid w:val="00BD3827"/>
    <w:rsid w:val="00BD3943"/>
    <w:rsid w:val="00BD3F50"/>
    <w:rsid w:val="00BD3F60"/>
    <w:rsid w:val="00BD3FDF"/>
    <w:rsid w:val="00BD40BF"/>
    <w:rsid w:val="00BD4379"/>
    <w:rsid w:val="00BD4565"/>
    <w:rsid w:val="00BD4BB5"/>
    <w:rsid w:val="00BD4CF3"/>
    <w:rsid w:val="00BD4F69"/>
    <w:rsid w:val="00BD517D"/>
    <w:rsid w:val="00BD54F5"/>
    <w:rsid w:val="00BD5677"/>
    <w:rsid w:val="00BD57E7"/>
    <w:rsid w:val="00BD5976"/>
    <w:rsid w:val="00BD5ADE"/>
    <w:rsid w:val="00BD5C03"/>
    <w:rsid w:val="00BD6644"/>
    <w:rsid w:val="00BD672C"/>
    <w:rsid w:val="00BD6C1F"/>
    <w:rsid w:val="00BD6C24"/>
    <w:rsid w:val="00BD6E01"/>
    <w:rsid w:val="00BD6F24"/>
    <w:rsid w:val="00BD7096"/>
    <w:rsid w:val="00BD7377"/>
    <w:rsid w:val="00BE01D8"/>
    <w:rsid w:val="00BE029D"/>
    <w:rsid w:val="00BE05AE"/>
    <w:rsid w:val="00BE0893"/>
    <w:rsid w:val="00BE0A92"/>
    <w:rsid w:val="00BE0E2B"/>
    <w:rsid w:val="00BE10EF"/>
    <w:rsid w:val="00BE1676"/>
    <w:rsid w:val="00BE1769"/>
    <w:rsid w:val="00BE1893"/>
    <w:rsid w:val="00BE18B9"/>
    <w:rsid w:val="00BE1AC0"/>
    <w:rsid w:val="00BE1D8E"/>
    <w:rsid w:val="00BE2033"/>
    <w:rsid w:val="00BE2206"/>
    <w:rsid w:val="00BE2334"/>
    <w:rsid w:val="00BE26ED"/>
    <w:rsid w:val="00BE270D"/>
    <w:rsid w:val="00BE2B87"/>
    <w:rsid w:val="00BE2BC6"/>
    <w:rsid w:val="00BE2ECA"/>
    <w:rsid w:val="00BE33B9"/>
    <w:rsid w:val="00BE3536"/>
    <w:rsid w:val="00BE3566"/>
    <w:rsid w:val="00BE3BDA"/>
    <w:rsid w:val="00BE3BFB"/>
    <w:rsid w:val="00BE3CD1"/>
    <w:rsid w:val="00BE40C1"/>
    <w:rsid w:val="00BE4101"/>
    <w:rsid w:val="00BE41BF"/>
    <w:rsid w:val="00BE4283"/>
    <w:rsid w:val="00BE4342"/>
    <w:rsid w:val="00BE4631"/>
    <w:rsid w:val="00BE46D9"/>
    <w:rsid w:val="00BE47BF"/>
    <w:rsid w:val="00BE47EA"/>
    <w:rsid w:val="00BE482D"/>
    <w:rsid w:val="00BE4849"/>
    <w:rsid w:val="00BE4BD0"/>
    <w:rsid w:val="00BE50BE"/>
    <w:rsid w:val="00BE512D"/>
    <w:rsid w:val="00BE5130"/>
    <w:rsid w:val="00BE51E7"/>
    <w:rsid w:val="00BE5246"/>
    <w:rsid w:val="00BE57EB"/>
    <w:rsid w:val="00BE5B8C"/>
    <w:rsid w:val="00BE5DFF"/>
    <w:rsid w:val="00BE61CD"/>
    <w:rsid w:val="00BE65E5"/>
    <w:rsid w:val="00BE67C3"/>
    <w:rsid w:val="00BE6C60"/>
    <w:rsid w:val="00BE7392"/>
    <w:rsid w:val="00BE75D3"/>
    <w:rsid w:val="00BE7A0E"/>
    <w:rsid w:val="00BE7CAF"/>
    <w:rsid w:val="00BE7D77"/>
    <w:rsid w:val="00BE7FFE"/>
    <w:rsid w:val="00BF00E7"/>
    <w:rsid w:val="00BF01FF"/>
    <w:rsid w:val="00BF08A2"/>
    <w:rsid w:val="00BF094D"/>
    <w:rsid w:val="00BF0BF2"/>
    <w:rsid w:val="00BF0DE8"/>
    <w:rsid w:val="00BF0E2E"/>
    <w:rsid w:val="00BF0F37"/>
    <w:rsid w:val="00BF0F5F"/>
    <w:rsid w:val="00BF13D4"/>
    <w:rsid w:val="00BF151A"/>
    <w:rsid w:val="00BF18AC"/>
    <w:rsid w:val="00BF1939"/>
    <w:rsid w:val="00BF1AEA"/>
    <w:rsid w:val="00BF20AA"/>
    <w:rsid w:val="00BF2A53"/>
    <w:rsid w:val="00BF2C64"/>
    <w:rsid w:val="00BF3746"/>
    <w:rsid w:val="00BF3815"/>
    <w:rsid w:val="00BF38DF"/>
    <w:rsid w:val="00BF3C72"/>
    <w:rsid w:val="00BF4074"/>
    <w:rsid w:val="00BF4549"/>
    <w:rsid w:val="00BF478B"/>
    <w:rsid w:val="00BF4BBF"/>
    <w:rsid w:val="00BF4C1D"/>
    <w:rsid w:val="00BF5187"/>
    <w:rsid w:val="00BF577D"/>
    <w:rsid w:val="00BF57C7"/>
    <w:rsid w:val="00BF5834"/>
    <w:rsid w:val="00BF5855"/>
    <w:rsid w:val="00BF5AA7"/>
    <w:rsid w:val="00BF5D94"/>
    <w:rsid w:val="00BF5EC6"/>
    <w:rsid w:val="00BF5FB3"/>
    <w:rsid w:val="00BF6037"/>
    <w:rsid w:val="00BF6287"/>
    <w:rsid w:val="00BF6294"/>
    <w:rsid w:val="00BF629D"/>
    <w:rsid w:val="00BF63BB"/>
    <w:rsid w:val="00BF64E1"/>
    <w:rsid w:val="00BF661D"/>
    <w:rsid w:val="00BF68DA"/>
    <w:rsid w:val="00BF6A5E"/>
    <w:rsid w:val="00BF6C73"/>
    <w:rsid w:val="00BF6CAB"/>
    <w:rsid w:val="00BF6F9B"/>
    <w:rsid w:val="00BF7156"/>
    <w:rsid w:val="00BF757E"/>
    <w:rsid w:val="00BF770C"/>
    <w:rsid w:val="00BF7A28"/>
    <w:rsid w:val="00BF7A4C"/>
    <w:rsid w:val="00C001CB"/>
    <w:rsid w:val="00C00254"/>
    <w:rsid w:val="00C004D7"/>
    <w:rsid w:val="00C0061A"/>
    <w:rsid w:val="00C008DA"/>
    <w:rsid w:val="00C008F2"/>
    <w:rsid w:val="00C008FC"/>
    <w:rsid w:val="00C00D3E"/>
    <w:rsid w:val="00C00DC2"/>
    <w:rsid w:val="00C011A2"/>
    <w:rsid w:val="00C0130A"/>
    <w:rsid w:val="00C0133E"/>
    <w:rsid w:val="00C014DA"/>
    <w:rsid w:val="00C01661"/>
    <w:rsid w:val="00C01A78"/>
    <w:rsid w:val="00C01C2E"/>
    <w:rsid w:val="00C01E13"/>
    <w:rsid w:val="00C01EA0"/>
    <w:rsid w:val="00C01FF6"/>
    <w:rsid w:val="00C02331"/>
    <w:rsid w:val="00C02377"/>
    <w:rsid w:val="00C02F1C"/>
    <w:rsid w:val="00C030F5"/>
    <w:rsid w:val="00C03491"/>
    <w:rsid w:val="00C03988"/>
    <w:rsid w:val="00C03B99"/>
    <w:rsid w:val="00C03C31"/>
    <w:rsid w:val="00C04017"/>
    <w:rsid w:val="00C04261"/>
    <w:rsid w:val="00C04394"/>
    <w:rsid w:val="00C04489"/>
    <w:rsid w:val="00C04948"/>
    <w:rsid w:val="00C04BBE"/>
    <w:rsid w:val="00C04C32"/>
    <w:rsid w:val="00C04C90"/>
    <w:rsid w:val="00C04CA9"/>
    <w:rsid w:val="00C05041"/>
    <w:rsid w:val="00C05158"/>
    <w:rsid w:val="00C05225"/>
    <w:rsid w:val="00C0535A"/>
    <w:rsid w:val="00C05600"/>
    <w:rsid w:val="00C0573E"/>
    <w:rsid w:val="00C05E22"/>
    <w:rsid w:val="00C05F2F"/>
    <w:rsid w:val="00C05FD8"/>
    <w:rsid w:val="00C06207"/>
    <w:rsid w:val="00C062B3"/>
    <w:rsid w:val="00C063E6"/>
    <w:rsid w:val="00C0642A"/>
    <w:rsid w:val="00C06488"/>
    <w:rsid w:val="00C067A5"/>
    <w:rsid w:val="00C06B72"/>
    <w:rsid w:val="00C06D26"/>
    <w:rsid w:val="00C070AD"/>
    <w:rsid w:val="00C07130"/>
    <w:rsid w:val="00C07510"/>
    <w:rsid w:val="00C076C3"/>
    <w:rsid w:val="00C079FA"/>
    <w:rsid w:val="00C07BF6"/>
    <w:rsid w:val="00C07C39"/>
    <w:rsid w:val="00C07D34"/>
    <w:rsid w:val="00C07DD5"/>
    <w:rsid w:val="00C07E3B"/>
    <w:rsid w:val="00C100B6"/>
    <w:rsid w:val="00C100BD"/>
    <w:rsid w:val="00C1027D"/>
    <w:rsid w:val="00C10357"/>
    <w:rsid w:val="00C105BC"/>
    <w:rsid w:val="00C1065F"/>
    <w:rsid w:val="00C10975"/>
    <w:rsid w:val="00C11080"/>
    <w:rsid w:val="00C11265"/>
    <w:rsid w:val="00C11700"/>
    <w:rsid w:val="00C11840"/>
    <w:rsid w:val="00C11E00"/>
    <w:rsid w:val="00C12640"/>
    <w:rsid w:val="00C12669"/>
    <w:rsid w:val="00C12A94"/>
    <w:rsid w:val="00C12CB3"/>
    <w:rsid w:val="00C12ED1"/>
    <w:rsid w:val="00C13206"/>
    <w:rsid w:val="00C135EE"/>
    <w:rsid w:val="00C13901"/>
    <w:rsid w:val="00C13EE5"/>
    <w:rsid w:val="00C1444B"/>
    <w:rsid w:val="00C1456B"/>
    <w:rsid w:val="00C149E2"/>
    <w:rsid w:val="00C14F0A"/>
    <w:rsid w:val="00C1512E"/>
    <w:rsid w:val="00C157EB"/>
    <w:rsid w:val="00C159FF"/>
    <w:rsid w:val="00C15C4C"/>
    <w:rsid w:val="00C15D86"/>
    <w:rsid w:val="00C15DAB"/>
    <w:rsid w:val="00C15FB3"/>
    <w:rsid w:val="00C160C5"/>
    <w:rsid w:val="00C16297"/>
    <w:rsid w:val="00C167E3"/>
    <w:rsid w:val="00C16969"/>
    <w:rsid w:val="00C16A25"/>
    <w:rsid w:val="00C16AAC"/>
    <w:rsid w:val="00C16BBF"/>
    <w:rsid w:val="00C16CE5"/>
    <w:rsid w:val="00C16E23"/>
    <w:rsid w:val="00C16E93"/>
    <w:rsid w:val="00C16F50"/>
    <w:rsid w:val="00C17276"/>
    <w:rsid w:val="00C17412"/>
    <w:rsid w:val="00C17821"/>
    <w:rsid w:val="00C17972"/>
    <w:rsid w:val="00C17E24"/>
    <w:rsid w:val="00C17F68"/>
    <w:rsid w:val="00C20038"/>
    <w:rsid w:val="00C2011B"/>
    <w:rsid w:val="00C20406"/>
    <w:rsid w:val="00C20489"/>
    <w:rsid w:val="00C205AC"/>
    <w:rsid w:val="00C205FE"/>
    <w:rsid w:val="00C20907"/>
    <w:rsid w:val="00C209E9"/>
    <w:rsid w:val="00C20F42"/>
    <w:rsid w:val="00C20F7B"/>
    <w:rsid w:val="00C210BD"/>
    <w:rsid w:val="00C21193"/>
    <w:rsid w:val="00C21225"/>
    <w:rsid w:val="00C2128E"/>
    <w:rsid w:val="00C213CE"/>
    <w:rsid w:val="00C214E0"/>
    <w:rsid w:val="00C21946"/>
    <w:rsid w:val="00C227AA"/>
    <w:rsid w:val="00C22895"/>
    <w:rsid w:val="00C2306D"/>
    <w:rsid w:val="00C232A7"/>
    <w:rsid w:val="00C23517"/>
    <w:rsid w:val="00C238EE"/>
    <w:rsid w:val="00C23A0C"/>
    <w:rsid w:val="00C23BF6"/>
    <w:rsid w:val="00C240FC"/>
    <w:rsid w:val="00C2435D"/>
    <w:rsid w:val="00C2437C"/>
    <w:rsid w:val="00C24611"/>
    <w:rsid w:val="00C24612"/>
    <w:rsid w:val="00C24B31"/>
    <w:rsid w:val="00C24D01"/>
    <w:rsid w:val="00C2503F"/>
    <w:rsid w:val="00C25116"/>
    <w:rsid w:val="00C254BA"/>
    <w:rsid w:val="00C25756"/>
    <w:rsid w:val="00C257B5"/>
    <w:rsid w:val="00C258E2"/>
    <w:rsid w:val="00C25967"/>
    <w:rsid w:val="00C259A4"/>
    <w:rsid w:val="00C2638F"/>
    <w:rsid w:val="00C26635"/>
    <w:rsid w:val="00C266E5"/>
    <w:rsid w:val="00C26B46"/>
    <w:rsid w:val="00C26C2B"/>
    <w:rsid w:val="00C26E4D"/>
    <w:rsid w:val="00C2716F"/>
    <w:rsid w:val="00C2720E"/>
    <w:rsid w:val="00C27411"/>
    <w:rsid w:val="00C2749B"/>
    <w:rsid w:val="00C2797C"/>
    <w:rsid w:val="00C279B1"/>
    <w:rsid w:val="00C27D5C"/>
    <w:rsid w:val="00C27F75"/>
    <w:rsid w:val="00C27F7C"/>
    <w:rsid w:val="00C300F0"/>
    <w:rsid w:val="00C303B3"/>
    <w:rsid w:val="00C3080B"/>
    <w:rsid w:val="00C30CCE"/>
    <w:rsid w:val="00C30DB8"/>
    <w:rsid w:val="00C310D6"/>
    <w:rsid w:val="00C31368"/>
    <w:rsid w:val="00C316D1"/>
    <w:rsid w:val="00C3192E"/>
    <w:rsid w:val="00C31A2C"/>
    <w:rsid w:val="00C31F5F"/>
    <w:rsid w:val="00C3205D"/>
    <w:rsid w:val="00C32080"/>
    <w:rsid w:val="00C32164"/>
    <w:rsid w:val="00C3246F"/>
    <w:rsid w:val="00C3296B"/>
    <w:rsid w:val="00C32A72"/>
    <w:rsid w:val="00C32B55"/>
    <w:rsid w:val="00C32C64"/>
    <w:rsid w:val="00C32D0D"/>
    <w:rsid w:val="00C32EB6"/>
    <w:rsid w:val="00C3307E"/>
    <w:rsid w:val="00C3315E"/>
    <w:rsid w:val="00C3334F"/>
    <w:rsid w:val="00C335F0"/>
    <w:rsid w:val="00C3375C"/>
    <w:rsid w:val="00C339A1"/>
    <w:rsid w:val="00C339D2"/>
    <w:rsid w:val="00C33ED9"/>
    <w:rsid w:val="00C33FA2"/>
    <w:rsid w:val="00C34080"/>
    <w:rsid w:val="00C341F7"/>
    <w:rsid w:val="00C34460"/>
    <w:rsid w:val="00C346F1"/>
    <w:rsid w:val="00C34803"/>
    <w:rsid w:val="00C34D2E"/>
    <w:rsid w:val="00C34D2F"/>
    <w:rsid w:val="00C34D64"/>
    <w:rsid w:val="00C351E6"/>
    <w:rsid w:val="00C35321"/>
    <w:rsid w:val="00C3537A"/>
    <w:rsid w:val="00C35559"/>
    <w:rsid w:val="00C35874"/>
    <w:rsid w:val="00C358CB"/>
    <w:rsid w:val="00C35D2A"/>
    <w:rsid w:val="00C35DF0"/>
    <w:rsid w:val="00C360AC"/>
    <w:rsid w:val="00C362E3"/>
    <w:rsid w:val="00C364D5"/>
    <w:rsid w:val="00C3650D"/>
    <w:rsid w:val="00C3663B"/>
    <w:rsid w:val="00C36FF1"/>
    <w:rsid w:val="00C37009"/>
    <w:rsid w:val="00C372E6"/>
    <w:rsid w:val="00C373BD"/>
    <w:rsid w:val="00C37591"/>
    <w:rsid w:val="00C3769F"/>
    <w:rsid w:val="00C37741"/>
    <w:rsid w:val="00C37A0A"/>
    <w:rsid w:val="00C37ABA"/>
    <w:rsid w:val="00C37D38"/>
    <w:rsid w:val="00C37DB2"/>
    <w:rsid w:val="00C40070"/>
    <w:rsid w:val="00C40188"/>
    <w:rsid w:val="00C4022C"/>
    <w:rsid w:val="00C4035E"/>
    <w:rsid w:val="00C40748"/>
    <w:rsid w:val="00C409FD"/>
    <w:rsid w:val="00C40EB9"/>
    <w:rsid w:val="00C412DA"/>
    <w:rsid w:val="00C415B3"/>
    <w:rsid w:val="00C41B4D"/>
    <w:rsid w:val="00C42024"/>
    <w:rsid w:val="00C42326"/>
    <w:rsid w:val="00C424CE"/>
    <w:rsid w:val="00C4272B"/>
    <w:rsid w:val="00C42B06"/>
    <w:rsid w:val="00C42C04"/>
    <w:rsid w:val="00C42DA7"/>
    <w:rsid w:val="00C432B2"/>
    <w:rsid w:val="00C432F6"/>
    <w:rsid w:val="00C43626"/>
    <w:rsid w:val="00C43A83"/>
    <w:rsid w:val="00C43BCF"/>
    <w:rsid w:val="00C43F32"/>
    <w:rsid w:val="00C44308"/>
    <w:rsid w:val="00C44385"/>
    <w:rsid w:val="00C44832"/>
    <w:rsid w:val="00C448C3"/>
    <w:rsid w:val="00C44DEF"/>
    <w:rsid w:val="00C451C9"/>
    <w:rsid w:val="00C455ED"/>
    <w:rsid w:val="00C45878"/>
    <w:rsid w:val="00C45900"/>
    <w:rsid w:val="00C45982"/>
    <w:rsid w:val="00C45C45"/>
    <w:rsid w:val="00C45C5A"/>
    <w:rsid w:val="00C45C7E"/>
    <w:rsid w:val="00C460E4"/>
    <w:rsid w:val="00C46199"/>
    <w:rsid w:val="00C461FC"/>
    <w:rsid w:val="00C46606"/>
    <w:rsid w:val="00C467DA"/>
    <w:rsid w:val="00C46802"/>
    <w:rsid w:val="00C468F6"/>
    <w:rsid w:val="00C46936"/>
    <w:rsid w:val="00C46C1F"/>
    <w:rsid w:val="00C46C49"/>
    <w:rsid w:val="00C46FC2"/>
    <w:rsid w:val="00C47048"/>
    <w:rsid w:val="00C47311"/>
    <w:rsid w:val="00C47338"/>
    <w:rsid w:val="00C4764D"/>
    <w:rsid w:val="00C47AD3"/>
    <w:rsid w:val="00C47C97"/>
    <w:rsid w:val="00C47E2D"/>
    <w:rsid w:val="00C50039"/>
    <w:rsid w:val="00C50243"/>
    <w:rsid w:val="00C50658"/>
    <w:rsid w:val="00C5067B"/>
    <w:rsid w:val="00C507C5"/>
    <w:rsid w:val="00C50A34"/>
    <w:rsid w:val="00C50ADE"/>
    <w:rsid w:val="00C50BA5"/>
    <w:rsid w:val="00C50D74"/>
    <w:rsid w:val="00C5122D"/>
    <w:rsid w:val="00C517A4"/>
    <w:rsid w:val="00C517B1"/>
    <w:rsid w:val="00C517B9"/>
    <w:rsid w:val="00C517F1"/>
    <w:rsid w:val="00C518CE"/>
    <w:rsid w:val="00C51B40"/>
    <w:rsid w:val="00C51C0B"/>
    <w:rsid w:val="00C52018"/>
    <w:rsid w:val="00C523D1"/>
    <w:rsid w:val="00C52654"/>
    <w:rsid w:val="00C52DC1"/>
    <w:rsid w:val="00C52F03"/>
    <w:rsid w:val="00C5321B"/>
    <w:rsid w:val="00C53457"/>
    <w:rsid w:val="00C538CE"/>
    <w:rsid w:val="00C53BE5"/>
    <w:rsid w:val="00C53CFD"/>
    <w:rsid w:val="00C5445A"/>
    <w:rsid w:val="00C5465D"/>
    <w:rsid w:val="00C54688"/>
    <w:rsid w:val="00C54CD5"/>
    <w:rsid w:val="00C54E21"/>
    <w:rsid w:val="00C5501C"/>
    <w:rsid w:val="00C5514C"/>
    <w:rsid w:val="00C553C5"/>
    <w:rsid w:val="00C55585"/>
    <w:rsid w:val="00C5564F"/>
    <w:rsid w:val="00C556E9"/>
    <w:rsid w:val="00C55CC6"/>
    <w:rsid w:val="00C55FE9"/>
    <w:rsid w:val="00C5633D"/>
    <w:rsid w:val="00C56485"/>
    <w:rsid w:val="00C564FD"/>
    <w:rsid w:val="00C568D7"/>
    <w:rsid w:val="00C56C45"/>
    <w:rsid w:val="00C56D32"/>
    <w:rsid w:val="00C56E42"/>
    <w:rsid w:val="00C56FBE"/>
    <w:rsid w:val="00C57058"/>
    <w:rsid w:val="00C57267"/>
    <w:rsid w:val="00C5729C"/>
    <w:rsid w:val="00C57801"/>
    <w:rsid w:val="00C6006F"/>
    <w:rsid w:val="00C60235"/>
    <w:rsid w:val="00C603A3"/>
    <w:rsid w:val="00C6064D"/>
    <w:rsid w:val="00C607DB"/>
    <w:rsid w:val="00C60C4F"/>
    <w:rsid w:val="00C60EFD"/>
    <w:rsid w:val="00C613B8"/>
    <w:rsid w:val="00C61707"/>
    <w:rsid w:val="00C62047"/>
    <w:rsid w:val="00C62178"/>
    <w:rsid w:val="00C622B4"/>
    <w:rsid w:val="00C6250B"/>
    <w:rsid w:val="00C62834"/>
    <w:rsid w:val="00C62FD8"/>
    <w:rsid w:val="00C6313D"/>
    <w:rsid w:val="00C631A3"/>
    <w:rsid w:val="00C6324D"/>
    <w:rsid w:val="00C63534"/>
    <w:rsid w:val="00C63766"/>
    <w:rsid w:val="00C6384F"/>
    <w:rsid w:val="00C639A0"/>
    <w:rsid w:val="00C63B6A"/>
    <w:rsid w:val="00C6490E"/>
    <w:rsid w:val="00C64C56"/>
    <w:rsid w:val="00C64D7B"/>
    <w:rsid w:val="00C64DB5"/>
    <w:rsid w:val="00C64EAF"/>
    <w:rsid w:val="00C651A6"/>
    <w:rsid w:val="00C66827"/>
    <w:rsid w:val="00C6692A"/>
    <w:rsid w:val="00C66BF0"/>
    <w:rsid w:val="00C66D9D"/>
    <w:rsid w:val="00C66F87"/>
    <w:rsid w:val="00C66F93"/>
    <w:rsid w:val="00C67484"/>
    <w:rsid w:val="00C6781D"/>
    <w:rsid w:val="00C67E38"/>
    <w:rsid w:val="00C67FFB"/>
    <w:rsid w:val="00C70087"/>
    <w:rsid w:val="00C7021D"/>
    <w:rsid w:val="00C7028B"/>
    <w:rsid w:val="00C706B7"/>
    <w:rsid w:val="00C70856"/>
    <w:rsid w:val="00C70B04"/>
    <w:rsid w:val="00C70BAD"/>
    <w:rsid w:val="00C70DB0"/>
    <w:rsid w:val="00C70F4E"/>
    <w:rsid w:val="00C71585"/>
    <w:rsid w:val="00C71C79"/>
    <w:rsid w:val="00C71DC3"/>
    <w:rsid w:val="00C72094"/>
    <w:rsid w:val="00C729AF"/>
    <w:rsid w:val="00C72EF6"/>
    <w:rsid w:val="00C7311D"/>
    <w:rsid w:val="00C733F6"/>
    <w:rsid w:val="00C7343D"/>
    <w:rsid w:val="00C7376E"/>
    <w:rsid w:val="00C73B29"/>
    <w:rsid w:val="00C73BED"/>
    <w:rsid w:val="00C73DF5"/>
    <w:rsid w:val="00C73E9E"/>
    <w:rsid w:val="00C740C3"/>
    <w:rsid w:val="00C7458A"/>
    <w:rsid w:val="00C74762"/>
    <w:rsid w:val="00C74F23"/>
    <w:rsid w:val="00C75259"/>
    <w:rsid w:val="00C752FB"/>
    <w:rsid w:val="00C756A0"/>
    <w:rsid w:val="00C75BA8"/>
    <w:rsid w:val="00C75C25"/>
    <w:rsid w:val="00C75D11"/>
    <w:rsid w:val="00C768EA"/>
    <w:rsid w:val="00C769FA"/>
    <w:rsid w:val="00C76D69"/>
    <w:rsid w:val="00C77080"/>
    <w:rsid w:val="00C77271"/>
    <w:rsid w:val="00C77291"/>
    <w:rsid w:val="00C774B0"/>
    <w:rsid w:val="00C7783B"/>
    <w:rsid w:val="00C77995"/>
    <w:rsid w:val="00C800C6"/>
    <w:rsid w:val="00C80726"/>
    <w:rsid w:val="00C8079C"/>
    <w:rsid w:val="00C809EA"/>
    <w:rsid w:val="00C80CAE"/>
    <w:rsid w:val="00C80DBB"/>
    <w:rsid w:val="00C80ED4"/>
    <w:rsid w:val="00C8127E"/>
    <w:rsid w:val="00C818F9"/>
    <w:rsid w:val="00C81AF4"/>
    <w:rsid w:val="00C81BEE"/>
    <w:rsid w:val="00C81E43"/>
    <w:rsid w:val="00C82361"/>
    <w:rsid w:val="00C824D3"/>
    <w:rsid w:val="00C826CC"/>
    <w:rsid w:val="00C827AB"/>
    <w:rsid w:val="00C82880"/>
    <w:rsid w:val="00C828CF"/>
    <w:rsid w:val="00C82936"/>
    <w:rsid w:val="00C82B04"/>
    <w:rsid w:val="00C83594"/>
    <w:rsid w:val="00C835F4"/>
    <w:rsid w:val="00C83683"/>
    <w:rsid w:val="00C836C1"/>
    <w:rsid w:val="00C83869"/>
    <w:rsid w:val="00C838F1"/>
    <w:rsid w:val="00C83A7E"/>
    <w:rsid w:val="00C83CBD"/>
    <w:rsid w:val="00C83FE7"/>
    <w:rsid w:val="00C8431F"/>
    <w:rsid w:val="00C84FA3"/>
    <w:rsid w:val="00C85206"/>
    <w:rsid w:val="00C852C9"/>
    <w:rsid w:val="00C8585E"/>
    <w:rsid w:val="00C858BD"/>
    <w:rsid w:val="00C85E42"/>
    <w:rsid w:val="00C8677F"/>
    <w:rsid w:val="00C8690F"/>
    <w:rsid w:val="00C86A15"/>
    <w:rsid w:val="00C86ADF"/>
    <w:rsid w:val="00C86D91"/>
    <w:rsid w:val="00C86DF1"/>
    <w:rsid w:val="00C8731F"/>
    <w:rsid w:val="00C87548"/>
    <w:rsid w:val="00C879AC"/>
    <w:rsid w:val="00C9038F"/>
    <w:rsid w:val="00C9055A"/>
    <w:rsid w:val="00C90563"/>
    <w:rsid w:val="00C905C9"/>
    <w:rsid w:val="00C907E6"/>
    <w:rsid w:val="00C90A29"/>
    <w:rsid w:val="00C90E1D"/>
    <w:rsid w:val="00C91284"/>
    <w:rsid w:val="00C91373"/>
    <w:rsid w:val="00C91559"/>
    <w:rsid w:val="00C9170E"/>
    <w:rsid w:val="00C920B9"/>
    <w:rsid w:val="00C92192"/>
    <w:rsid w:val="00C922B8"/>
    <w:rsid w:val="00C92329"/>
    <w:rsid w:val="00C9259E"/>
    <w:rsid w:val="00C92A0A"/>
    <w:rsid w:val="00C92CA2"/>
    <w:rsid w:val="00C92D67"/>
    <w:rsid w:val="00C92DEE"/>
    <w:rsid w:val="00C92E01"/>
    <w:rsid w:val="00C92E7F"/>
    <w:rsid w:val="00C92EE2"/>
    <w:rsid w:val="00C92F7B"/>
    <w:rsid w:val="00C9361F"/>
    <w:rsid w:val="00C936C6"/>
    <w:rsid w:val="00C9374B"/>
    <w:rsid w:val="00C93BDF"/>
    <w:rsid w:val="00C93CB3"/>
    <w:rsid w:val="00C93CB6"/>
    <w:rsid w:val="00C93E86"/>
    <w:rsid w:val="00C93E8B"/>
    <w:rsid w:val="00C93F36"/>
    <w:rsid w:val="00C940E2"/>
    <w:rsid w:val="00C94222"/>
    <w:rsid w:val="00C94407"/>
    <w:rsid w:val="00C94671"/>
    <w:rsid w:val="00C9470C"/>
    <w:rsid w:val="00C949C3"/>
    <w:rsid w:val="00C94A3A"/>
    <w:rsid w:val="00C95016"/>
    <w:rsid w:val="00C9503E"/>
    <w:rsid w:val="00C95220"/>
    <w:rsid w:val="00C9588C"/>
    <w:rsid w:val="00C95A38"/>
    <w:rsid w:val="00C95B59"/>
    <w:rsid w:val="00C95BB0"/>
    <w:rsid w:val="00C9604E"/>
    <w:rsid w:val="00C96059"/>
    <w:rsid w:val="00C96236"/>
    <w:rsid w:val="00C96254"/>
    <w:rsid w:val="00C9654F"/>
    <w:rsid w:val="00C967B7"/>
    <w:rsid w:val="00C968B4"/>
    <w:rsid w:val="00C96D70"/>
    <w:rsid w:val="00C96DC2"/>
    <w:rsid w:val="00C96F57"/>
    <w:rsid w:val="00C96FC0"/>
    <w:rsid w:val="00C97122"/>
    <w:rsid w:val="00C973D7"/>
    <w:rsid w:val="00C9746B"/>
    <w:rsid w:val="00C97640"/>
    <w:rsid w:val="00C97735"/>
    <w:rsid w:val="00C97806"/>
    <w:rsid w:val="00C979FE"/>
    <w:rsid w:val="00C97C55"/>
    <w:rsid w:val="00C97E81"/>
    <w:rsid w:val="00C97EC3"/>
    <w:rsid w:val="00CA0012"/>
    <w:rsid w:val="00CA0602"/>
    <w:rsid w:val="00CA0714"/>
    <w:rsid w:val="00CA0B03"/>
    <w:rsid w:val="00CA0C5E"/>
    <w:rsid w:val="00CA0F47"/>
    <w:rsid w:val="00CA10BC"/>
    <w:rsid w:val="00CA10D2"/>
    <w:rsid w:val="00CA136A"/>
    <w:rsid w:val="00CA1467"/>
    <w:rsid w:val="00CA1B6E"/>
    <w:rsid w:val="00CA1BEA"/>
    <w:rsid w:val="00CA23AD"/>
    <w:rsid w:val="00CA23B3"/>
    <w:rsid w:val="00CA241E"/>
    <w:rsid w:val="00CA2484"/>
    <w:rsid w:val="00CA281E"/>
    <w:rsid w:val="00CA2A78"/>
    <w:rsid w:val="00CA2BE0"/>
    <w:rsid w:val="00CA2BE2"/>
    <w:rsid w:val="00CA327E"/>
    <w:rsid w:val="00CA349B"/>
    <w:rsid w:val="00CA3573"/>
    <w:rsid w:val="00CA3AEA"/>
    <w:rsid w:val="00CA3BD1"/>
    <w:rsid w:val="00CA3D9F"/>
    <w:rsid w:val="00CA3E78"/>
    <w:rsid w:val="00CA4219"/>
    <w:rsid w:val="00CA49AA"/>
    <w:rsid w:val="00CA4A73"/>
    <w:rsid w:val="00CA4E79"/>
    <w:rsid w:val="00CA51F2"/>
    <w:rsid w:val="00CA5567"/>
    <w:rsid w:val="00CA5A7A"/>
    <w:rsid w:val="00CA5F04"/>
    <w:rsid w:val="00CA6372"/>
    <w:rsid w:val="00CA64D8"/>
    <w:rsid w:val="00CA66F2"/>
    <w:rsid w:val="00CA68F0"/>
    <w:rsid w:val="00CA6ABD"/>
    <w:rsid w:val="00CA6C30"/>
    <w:rsid w:val="00CA7367"/>
    <w:rsid w:val="00CA742F"/>
    <w:rsid w:val="00CB06F9"/>
    <w:rsid w:val="00CB0703"/>
    <w:rsid w:val="00CB08FB"/>
    <w:rsid w:val="00CB1128"/>
    <w:rsid w:val="00CB1422"/>
    <w:rsid w:val="00CB1691"/>
    <w:rsid w:val="00CB16F9"/>
    <w:rsid w:val="00CB197C"/>
    <w:rsid w:val="00CB1A24"/>
    <w:rsid w:val="00CB1BF5"/>
    <w:rsid w:val="00CB22E7"/>
    <w:rsid w:val="00CB25BF"/>
    <w:rsid w:val="00CB2805"/>
    <w:rsid w:val="00CB30FE"/>
    <w:rsid w:val="00CB3433"/>
    <w:rsid w:val="00CB34D0"/>
    <w:rsid w:val="00CB3573"/>
    <w:rsid w:val="00CB36C8"/>
    <w:rsid w:val="00CB3C2A"/>
    <w:rsid w:val="00CB3DC1"/>
    <w:rsid w:val="00CB3E92"/>
    <w:rsid w:val="00CB4218"/>
    <w:rsid w:val="00CB4C36"/>
    <w:rsid w:val="00CB4D70"/>
    <w:rsid w:val="00CB51AF"/>
    <w:rsid w:val="00CB5206"/>
    <w:rsid w:val="00CB53CB"/>
    <w:rsid w:val="00CB54CF"/>
    <w:rsid w:val="00CB5592"/>
    <w:rsid w:val="00CB5625"/>
    <w:rsid w:val="00CB5919"/>
    <w:rsid w:val="00CB5968"/>
    <w:rsid w:val="00CB5AC7"/>
    <w:rsid w:val="00CB5C06"/>
    <w:rsid w:val="00CB6092"/>
    <w:rsid w:val="00CB6142"/>
    <w:rsid w:val="00CB61A2"/>
    <w:rsid w:val="00CB647B"/>
    <w:rsid w:val="00CB6B99"/>
    <w:rsid w:val="00CB7317"/>
    <w:rsid w:val="00CB7801"/>
    <w:rsid w:val="00CB7C34"/>
    <w:rsid w:val="00CB7CA4"/>
    <w:rsid w:val="00CB7CCA"/>
    <w:rsid w:val="00CB7F68"/>
    <w:rsid w:val="00CC03D0"/>
    <w:rsid w:val="00CC0443"/>
    <w:rsid w:val="00CC044C"/>
    <w:rsid w:val="00CC07DF"/>
    <w:rsid w:val="00CC0A61"/>
    <w:rsid w:val="00CC0BCD"/>
    <w:rsid w:val="00CC10C2"/>
    <w:rsid w:val="00CC12C1"/>
    <w:rsid w:val="00CC1507"/>
    <w:rsid w:val="00CC1525"/>
    <w:rsid w:val="00CC153B"/>
    <w:rsid w:val="00CC1A5C"/>
    <w:rsid w:val="00CC1ABF"/>
    <w:rsid w:val="00CC1F30"/>
    <w:rsid w:val="00CC2283"/>
    <w:rsid w:val="00CC256C"/>
    <w:rsid w:val="00CC27B5"/>
    <w:rsid w:val="00CC2B41"/>
    <w:rsid w:val="00CC2C05"/>
    <w:rsid w:val="00CC2E19"/>
    <w:rsid w:val="00CC2EF6"/>
    <w:rsid w:val="00CC2F2C"/>
    <w:rsid w:val="00CC306B"/>
    <w:rsid w:val="00CC366B"/>
    <w:rsid w:val="00CC4856"/>
    <w:rsid w:val="00CC48F0"/>
    <w:rsid w:val="00CC4947"/>
    <w:rsid w:val="00CC4B49"/>
    <w:rsid w:val="00CC4FD7"/>
    <w:rsid w:val="00CC5398"/>
    <w:rsid w:val="00CC55D6"/>
    <w:rsid w:val="00CC5AD4"/>
    <w:rsid w:val="00CC5CC1"/>
    <w:rsid w:val="00CC5E2B"/>
    <w:rsid w:val="00CC6150"/>
    <w:rsid w:val="00CC63AB"/>
    <w:rsid w:val="00CC6611"/>
    <w:rsid w:val="00CC6966"/>
    <w:rsid w:val="00CC6985"/>
    <w:rsid w:val="00CC6C2F"/>
    <w:rsid w:val="00CC6CE6"/>
    <w:rsid w:val="00CC6E3D"/>
    <w:rsid w:val="00CC6EB8"/>
    <w:rsid w:val="00CC73EE"/>
    <w:rsid w:val="00CC760F"/>
    <w:rsid w:val="00CC79D3"/>
    <w:rsid w:val="00CC7C73"/>
    <w:rsid w:val="00CC7CF7"/>
    <w:rsid w:val="00CC7E23"/>
    <w:rsid w:val="00CD017E"/>
    <w:rsid w:val="00CD01D8"/>
    <w:rsid w:val="00CD08E9"/>
    <w:rsid w:val="00CD0A9B"/>
    <w:rsid w:val="00CD0ABF"/>
    <w:rsid w:val="00CD1098"/>
    <w:rsid w:val="00CD11A8"/>
    <w:rsid w:val="00CD1227"/>
    <w:rsid w:val="00CD15EC"/>
    <w:rsid w:val="00CD1765"/>
    <w:rsid w:val="00CD1D1B"/>
    <w:rsid w:val="00CD20C6"/>
    <w:rsid w:val="00CD237D"/>
    <w:rsid w:val="00CD26AA"/>
    <w:rsid w:val="00CD26D9"/>
    <w:rsid w:val="00CD29EB"/>
    <w:rsid w:val="00CD309B"/>
    <w:rsid w:val="00CD3243"/>
    <w:rsid w:val="00CD3386"/>
    <w:rsid w:val="00CD3422"/>
    <w:rsid w:val="00CD348A"/>
    <w:rsid w:val="00CD35B4"/>
    <w:rsid w:val="00CD361B"/>
    <w:rsid w:val="00CD3670"/>
    <w:rsid w:val="00CD3717"/>
    <w:rsid w:val="00CD37AC"/>
    <w:rsid w:val="00CD3A7B"/>
    <w:rsid w:val="00CD3C97"/>
    <w:rsid w:val="00CD3FD6"/>
    <w:rsid w:val="00CD41D6"/>
    <w:rsid w:val="00CD4342"/>
    <w:rsid w:val="00CD4729"/>
    <w:rsid w:val="00CD4B2B"/>
    <w:rsid w:val="00CD4DFA"/>
    <w:rsid w:val="00CD4EE0"/>
    <w:rsid w:val="00CD54A9"/>
    <w:rsid w:val="00CD5537"/>
    <w:rsid w:val="00CD57F0"/>
    <w:rsid w:val="00CD5A5D"/>
    <w:rsid w:val="00CD5C86"/>
    <w:rsid w:val="00CD5D2A"/>
    <w:rsid w:val="00CD6295"/>
    <w:rsid w:val="00CD633E"/>
    <w:rsid w:val="00CD6593"/>
    <w:rsid w:val="00CD6607"/>
    <w:rsid w:val="00CD6634"/>
    <w:rsid w:val="00CD693D"/>
    <w:rsid w:val="00CD711B"/>
    <w:rsid w:val="00CD75EA"/>
    <w:rsid w:val="00CD7747"/>
    <w:rsid w:val="00CD7A16"/>
    <w:rsid w:val="00CD7A6F"/>
    <w:rsid w:val="00CD7DC2"/>
    <w:rsid w:val="00CE05C3"/>
    <w:rsid w:val="00CE0EC4"/>
    <w:rsid w:val="00CE1250"/>
    <w:rsid w:val="00CE16CD"/>
    <w:rsid w:val="00CE171F"/>
    <w:rsid w:val="00CE1816"/>
    <w:rsid w:val="00CE1934"/>
    <w:rsid w:val="00CE1A8D"/>
    <w:rsid w:val="00CE1C74"/>
    <w:rsid w:val="00CE1F60"/>
    <w:rsid w:val="00CE1FBB"/>
    <w:rsid w:val="00CE2073"/>
    <w:rsid w:val="00CE245E"/>
    <w:rsid w:val="00CE248E"/>
    <w:rsid w:val="00CE256D"/>
    <w:rsid w:val="00CE2728"/>
    <w:rsid w:val="00CE29A8"/>
    <w:rsid w:val="00CE2ACF"/>
    <w:rsid w:val="00CE30ED"/>
    <w:rsid w:val="00CE3159"/>
    <w:rsid w:val="00CE3200"/>
    <w:rsid w:val="00CE3696"/>
    <w:rsid w:val="00CE36DC"/>
    <w:rsid w:val="00CE3A49"/>
    <w:rsid w:val="00CE3D34"/>
    <w:rsid w:val="00CE3E48"/>
    <w:rsid w:val="00CE3F4E"/>
    <w:rsid w:val="00CE3F6D"/>
    <w:rsid w:val="00CE3F99"/>
    <w:rsid w:val="00CE409A"/>
    <w:rsid w:val="00CE436C"/>
    <w:rsid w:val="00CE4813"/>
    <w:rsid w:val="00CE4D2E"/>
    <w:rsid w:val="00CE4ECC"/>
    <w:rsid w:val="00CE4F5B"/>
    <w:rsid w:val="00CE501B"/>
    <w:rsid w:val="00CE51FF"/>
    <w:rsid w:val="00CE57EB"/>
    <w:rsid w:val="00CE5916"/>
    <w:rsid w:val="00CE59F3"/>
    <w:rsid w:val="00CE5B7E"/>
    <w:rsid w:val="00CE5CD5"/>
    <w:rsid w:val="00CE5D1C"/>
    <w:rsid w:val="00CE5F09"/>
    <w:rsid w:val="00CE614E"/>
    <w:rsid w:val="00CE68B2"/>
    <w:rsid w:val="00CE6A50"/>
    <w:rsid w:val="00CE6EF1"/>
    <w:rsid w:val="00CE7117"/>
    <w:rsid w:val="00CE739A"/>
    <w:rsid w:val="00CE7589"/>
    <w:rsid w:val="00CE76EE"/>
    <w:rsid w:val="00CE7814"/>
    <w:rsid w:val="00CE782D"/>
    <w:rsid w:val="00CE7846"/>
    <w:rsid w:val="00CE789C"/>
    <w:rsid w:val="00CE79F1"/>
    <w:rsid w:val="00CE7E62"/>
    <w:rsid w:val="00CE7F4E"/>
    <w:rsid w:val="00CF0194"/>
    <w:rsid w:val="00CF01B5"/>
    <w:rsid w:val="00CF05CB"/>
    <w:rsid w:val="00CF06DA"/>
    <w:rsid w:val="00CF0A5D"/>
    <w:rsid w:val="00CF0ACF"/>
    <w:rsid w:val="00CF0E8A"/>
    <w:rsid w:val="00CF1010"/>
    <w:rsid w:val="00CF1471"/>
    <w:rsid w:val="00CF186F"/>
    <w:rsid w:val="00CF1930"/>
    <w:rsid w:val="00CF1A22"/>
    <w:rsid w:val="00CF1A2B"/>
    <w:rsid w:val="00CF1C80"/>
    <w:rsid w:val="00CF25C6"/>
    <w:rsid w:val="00CF2683"/>
    <w:rsid w:val="00CF28A9"/>
    <w:rsid w:val="00CF2AEE"/>
    <w:rsid w:val="00CF2AFB"/>
    <w:rsid w:val="00CF2B97"/>
    <w:rsid w:val="00CF2BBB"/>
    <w:rsid w:val="00CF2DAA"/>
    <w:rsid w:val="00CF30B8"/>
    <w:rsid w:val="00CF3117"/>
    <w:rsid w:val="00CF3235"/>
    <w:rsid w:val="00CF340F"/>
    <w:rsid w:val="00CF37FD"/>
    <w:rsid w:val="00CF38BA"/>
    <w:rsid w:val="00CF3AD2"/>
    <w:rsid w:val="00CF3BE9"/>
    <w:rsid w:val="00CF3CA0"/>
    <w:rsid w:val="00CF3D17"/>
    <w:rsid w:val="00CF3D8C"/>
    <w:rsid w:val="00CF467A"/>
    <w:rsid w:val="00CF4AE0"/>
    <w:rsid w:val="00CF4B3D"/>
    <w:rsid w:val="00CF4EB9"/>
    <w:rsid w:val="00CF4FD5"/>
    <w:rsid w:val="00CF547E"/>
    <w:rsid w:val="00CF5596"/>
    <w:rsid w:val="00CF5681"/>
    <w:rsid w:val="00CF56DB"/>
    <w:rsid w:val="00CF56DF"/>
    <w:rsid w:val="00CF5866"/>
    <w:rsid w:val="00CF5922"/>
    <w:rsid w:val="00CF599A"/>
    <w:rsid w:val="00CF5A8B"/>
    <w:rsid w:val="00CF5DCF"/>
    <w:rsid w:val="00CF5E1D"/>
    <w:rsid w:val="00CF5FAC"/>
    <w:rsid w:val="00CF64E2"/>
    <w:rsid w:val="00CF68F8"/>
    <w:rsid w:val="00CF6AEF"/>
    <w:rsid w:val="00CF6CBD"/>
    <w:rsid w:val="00CF6F5B"/>
    <w:rsid w:val="00CF6FEE"/>
    <w:rsid w:val="00CF7887"/>
    <w:rsid w:val="00CF7BA1"/>
    <w:rsid w:val="00CF7BC5"/>
    <w:rsid w:val="00CF7BDF"/>
    <w:rsid w:val="00D00570"/>
    <w:rsid w:val="00D00749"/>
    <w:rsid w:val="00D008B5"/>
    <w:rsid w:val="00D00FF9"/>
    <w:rsid w:val="00D0184A"/>
    <w:rsid w:val="00D01BAF"/>
    <w:rsid w:val="00D01BB3"/>
    <w:rsid w:val="00D01D75"/>
    <w:rsid w:val="00D021E5"/>
    <w:rsid w:val="00D02246"/>
    <w:rsid w:val="00D022C0"/>
    <w:rsid w:val="00D02395"/>
    <w:rsid w:val="00D0250D"/>
    <w:rsid w:val="00D02C7B"/>
    <w:rsid w:val="00D02F98"/>
    <w:rsid w:val="00D02FFD"/>
    <w:rsid w:val="00D031BB"/>
    <w:rsid w:val="00D031D1"/>
    <w:rsid w:val="00D03212"/>
    <w:rsid w:val="00D032A4"/>
    <w:rsid w:val="00D0345A"/>
    <w:rsid w:val="00D03949"/>
    <w:rsid w:val="00D03A8A"/>
    <w:rsid w:val="00D03B56"/>
    <w:rsid w:val="00D04090"/>
    <w:rsid w:val="00D040FD"/>
    <w:rsid w:val="00D0412F"/>
    <w:rsid w:val="00D043F8"/>
    <w:rsid w:val="00D046B3"/>
    <w:rsid w:val="00D0499C"/>
    <w:rsid w:val="00D04BEA"/>
    <w:rsid w:val="00D04CB8"/>
    <w:rsid w:val="00D04DD9"/>
    <w:rsid w:val="00D04EB4"/>
    <w:rsid w:val="00D0508C"/>
    <w:rsid w:val="00D0510F"/>
    <w:rsid w:val="00D05202"/>
    <w:rsid w:val="00D052D6"/>
    <w:rsid w:val="00D055A4"/>
    <w:rsid w:val="00D055A7"/>
    <w:rsid w:val="00D055BA"/>
    <w:rsid w:val="00D05672"/>
    <w:rsid w:val="00D0580A"/>
    <w:rsid w:val="00D05825"/>
    <w:rsid w:val="00D05A6E"/>
    <w:rsid w:val="00D05EBF"/>
    <w:rsid w:val="00D05F1B"/>
    <w:rsid w:val="00D06518"/>
    <w:rsid w:val="00D065CF"/>
    <w:rsid w:val="00D06667"/>
    <w:rsid w:val="00D068F8"/>
    <w:rsid w:val="00D06968"/>
    <w:rsid w:val="00D069CD"/>
    <w:rsid w:val="00D06D81"/>
    <w:rsid w:val="00D07260"/>
    <w:rsid w:val="00D07540"/>
    <w:rsid w:val="00D07769"/>
    <w:rsid w:val="00D0787F"/>
    <w:rsid w:val="00D07C77"/>
    <w:rsid w:val="00D10399"/>
    <w:rsid w:val="00D10D49"/>
    <w:rsid w:val="00D10FC0"/>
    <w:rsid w:val="00D11237"/>
    <w:rsid w:val="00D11242"/>
    <w:rsid w:val="00D113F8"/>
    <w:rsid w:val="00D114C0"/>
    <w:rsid w:val="00D1154A"/>
    <w:rsid w:val="00D116C7"/>
    <w:rsid w:val="00D1171F"/>
    <w:rsid w:val="00D118AD"/>
    <w:rsid w:val="00D11A12"/>
    <w:rsid w:val="00D11B50"/>
    <w:rsid w:val="00D11D15"/>
    <w:rsid w:val="00D12295"/>
    <w:rsid w:val="00D122BA"/>
    <w:rsid w:val="00D13018"/>
    <w:rsid w:val="00D13134"/>
    <w:rsid w:val="00D1335E"/>
    <w:rsid w:val="00D1356A"/>
    <w:rsid w:val="00D136FC"/>
    <w:rsid w:val="00D138CB"/>
    <w:rsid w:val="00D139C8"/>
    <w:rsid w:val="00D13E2D"/>
    <w:rsid w:val="00D13F9A"/>
    <w:rsid w:val="00D14013"/>
    <w:rsid w:val="00D144A0"/>
    <w:rsid w:val="00D145BC"/>
    <w:rsid w:val="00D14B9F"/>
    <w:rsid w:val="00D15693"/>
    <w:rsid w:val="00D15935"/>
    <w:rsid w:val="00D15D88"/>
    <w:rsid w:val="00D165DC"/>
    <w:rsid w:val="00D1683B"/>
    <w:rsid w:val="00D16FE7"/>
    <w:rsid w:val="00D17202"/>
    <w:rsid w:val="00D17485"/>
    <w:rsid w:val="00D17985"/>
    <w:rsid w:val="00D179E4"/>
    <w:rsid w:val="00D17B65"/>
    <w:rsid w:val="00D17CAD"/>
    <w:rsid w:val="00D17D09"/>
    <w:rsid w:val="00D17E11"/>
    <w:rsid w:val="00D200B8"/>
    <w:rsid w:val="00D20137"/>
    <w:rsid w:val="00D20A8D"/>
    <w:rsid w:val="00D20BDD"/>
    <w:rsid w:val="00D20C44"/>
    <w:rsid w:val="00D20D0B"/>
    <w:rsid w:val="00D21256"/>
    <w:rsid w:val="00D21258"/>
    <w:rsid w:val="00D218F6"/>
    <w:rsid w:val="00D2190A"/>
    <w:rsid w:val="00D219B4"/>
    <w:rsid w:val="00D21C91"/>
    <w:rsid w:val="00D21EA7"/>
    <w:rsid w:val="00D22040"/>
    <w:rsid w:val="00D222C0"/>
    <w:rsid w:val="00D222FA"/>
    <w:rsid w:val="00D2247C"/>
    <w:rsid w:val="00D22559"/>
    <w:rsid w:val="00D22672"/>
    <w:rsid w:val="00D226A0"/>
    <w:rsid w:val="00D2276F"/>
    <w:rsid w:val="00D229BE"/>
    <w:rsid w:val="00D23190"/>
    <w:rsid w:val="00D2326D"/>
    <w:rsid w:val="00D233B6"/>
    <w:rsid w:val="00D23499"/>
    <w:rsid w:val="00D237CF"/>
    <w:rsid w:val="00D23B0B"/>
    <w:rsid w:val="00D23D96"/>
    <w:rsid w:val="00D23E48"/>
    <w:rsid w:val="00D242CA"/>
    <w:rsid w:val="00D2449E"/>
    <w:rsid w:val="00D24579"/>
    <w:rsid w:val="00D24667"/>
    <w:rsid w:val="00D246AC"/>
    <w:rsid w:val="00D24733"/>
    <w:rsid w:val="00D24FD5"/>
    <w:rsid w:val="00D250D5"/>
    <w:rsid w:val="00D254B1"/>
    <w:rsid w:val="00D25A57"/>
    <w:rsid w:val="00D25A7F"/>
    <w:rsid w:val="00D25D76"/>
    <w:rsid w:val="00D25EA0"/>
    <w:rsid w:val="00D2619E"/>
    <w:rsid w:val="00D26A64"/>
    <w:rsid w:val="00D26A70"/>
    <w:rsid w:val="00D26EA9"/>
    <w:rsid w:val="00D26EF6"/>
    <w:rsid w:val="00D27019"/>
    <w:rsid w:val="00D27371"/>
    <w:rsid w:val="00D27659"/>
    <w:rsid w:val="00D27B08"/>
    <w:rsid w:val="00D27D46"/>
    <w:rsid w:val="00D27DD1"/>
    <w:rsid w:val="00D27F4F"/>
    <w:rsid w:val="00D30568"/>
    <w:rsid w:val="00D3057A"/>
    <w:rsid w:val="00D30785"/>
    <w:rsid w:val="00D307D2"/>
    <w:rsid w:val="00D309E3"/>
    <w:rsid w:val="00D30EC0"/>
    <w:rsid w:val="00D30F08"/>
    <w:rsid w:val="00D310EF"/>
    <w:rsid w:val="00D311B1"/>
    <w:rsid w:val="00D31362"/>
    <w:rsid w:val="00D3172D"/>
    <w:rsid w:val="00D3175A"/>
    <w:rsid w:val="00D31D7F"/>
    <w:rsid w:val="00D31FDF"/>
    <w:rsid w:val="00D32109"/>
    <w:rsid w:val="00D32AF1"/>
    <w:rsid w:val="00D32DF8"/>
    <w:rsid w:val="00D32FDB"/>
    <w:rsid w:val="00D3308B"/>
    <w:rsid w:val="00D3316A"/>
    <w:rsid w:val="00D3316F"/>
    <w:rsid w:val="00D331DE"/>
    <w:rsid w:val="00D33213"/>
    <w:rsid w:val="00D3340D"/>
    <w:rsid w:val="00D334D3"/>
    <w:rsid w:val="00D33551"/>
    <w:rsid w:val="00D33830"/>
    <w:rsid w:val="00D33A6B"/>
    <w:rsid w:val="00D33AB0"/>
    <w:rsid w:val="00D34617"/>
    <w:rsid w:val="00D3465F"/>
    <w:rsid w:val="00D34E19"/>
    <w:rsid w:val="00D34E48"/>
    <w:rsid w:val="00D35467"/>
    <w:rsid w:val="00D35708"/>
    <w:rsid w:val="00D35ADA"/>
    <w:rsid w:val="00D35BDC"/>
    <w:rsid w:val="00D35CA1"/>
    <w:rsid w:val="00D35D8B"/>
    <w:rsid w:val="00D35FA7"/>
    <w:rsid w:val="00D35FB7"/>
    <w:rsid w:val="00D36016"/>
    <w:rsid w:val="00D3602B"/>
    <w:rsid w:val="00D372F7"/>
    <w:rsid w:val="00D376BA"/>
    <w:rsid w:val="00D37705"/>
    <w:rsid w:val="00D37968"/>
    <w:rsid w:val="00D37A83"/>
    <w:rsid w:val="00D37C00"/>
    <w:rsid w:val="00D37D10"/>
    <w:rsid w:val="00D37FF6"/>
    <w:rsid w:val="00D40147"/>
    <w:rsid w:val="00D402B3"/>
    <w:rsid w:val="00D4036E"/>
    <w:rsid w:val="00D40A5E"/>
    <w:rsid w:val="00D40AF8"/>
    <w:rsid w:val="00D41267"/>
    <w:rsid w:val="00D41297"/>
    <w:rsid w:val="00D4142F"/>
    <w:rsid w:val="00D414A5"/>
    <w:rsid w:val="00D41580"/>
    <w:rsid w:val="00D41C3F"/>
    <w:rsid w:val="00D4203D"/>
    <w:rsid w:val="00D4227C"/>
    <w:rsid w:val="00D42550"/>
    <w:rsid w:val="00D42DE7"/>
    <w:rsid w:val="00D43438"/>
    <w:rsid w:val="00D435C2"/>
    <w:rsid w:val="00D43635"/>
    <w:rsid w:val="00D43D1F"/>
    <w:rsid w:val="00D43E8A"/>
    <w:rsid w:val="00D43F89"/>
    <w:rsid w:val="00D43F98"/>
    <w:rsid w:val="00D4403A"/>
    <w:rsid w:val="00D440CD"/>
    <w:rsid w:val="00D4463A"/>
    <w:rsid w:val="00D44932"/>
    <w:rsid w:val="00D44C88"/>
    <w:rsid w:val="00D44F17"/>
    <w:rsid w:val="00D44F46"/>
    <w:rsid w:val="00D450EC"/>
    <w:rsid w:val="00D45B34"/>
    <w:rsid w:val="00D45BC0"/>
    <w:rsid w:val="00D45CB7"/>
    <w:rsid w:val="00D45D1F"/>
    <w:rsid w:val="00D45D99"/>
    <w:rsid w:val="00D4622B"/>
    <w:rsid w:val="00D4680D"/>
    <w:rsid w:val="00D46B49"/>
    <w:rsid w:val="00D46F8F"/>
    <w:rsid w:val="00D46FA2"/>
    <w:rsid w:val="00D47089"/>
    <w:rsid w:val="00D4729B"/>
    <w:rsid w:val="00D47348"/>
    <w:rsid w:val="00D4760D"/>
    <w:rsid w:val="00D47655"/>
    <w:rsid w:val="00D477DB"/>
    <w:rsid w:val="00D47FB5"/>
    <w:rsid w:val="00D5019F"/>
    <w:rsid w:val="00D50692"/>
    <w:rsid w:val="00D50E6E"/>
    <w:rsid w:val="00D5137B"/>
    <w:rsid w:val="00D5139F"/>
    <w:rsid w:val="00D51902"/>
    <w:rsid w:val="00D51D3B"/>
    <w:rsid w:val="00D520FA"/>
    <w:rsid w:val="00D521B6"/>
    <w:rsid w:val="00D52350"/>
    <w:rsid w:val="00D525AC"/>
    <w:rsid w:val="00D52657"/>
    <w:rsid w:val="00D526EF"/>
    <w:rsid w:val="00D5295F"/>
    <w:rsid w:val="00D52B58"/>
    <w:rsid w:val="00D53277"/>
    <w:rsid w:val="00D536DA"/>
    <w:rsid w:val="00D538F1"/>
    <w:rsid w:val="00D5391B"/>
    <w:rsid w:val="00D53AA7"/>
    <w:rsid w:val="00D53F7A"/>
    <w:rsid w:val="00D543AE"/>
    <w:rsid w:val="00D5442C"/>
    <w:rsid w:val="00D544AC"/>
    <w:rsid w:val="00D548A5"/>
    <w:rsid w:val="00D54C06"/>
    <w:rsid w:val="00D54DA3"/>
    <w:rsid w:val="00D54FDB"/>
    <w:rsid w:val="00D5537D"/>
    <w:rsid w:val="00D556E3"/>
    <w:rsid w:val="00D56189"/>
    <w:rsid w:val="00D562BC"/>
    <w:rsid w:val="00D562D1"/>
    <w:rsid w:val="00D563B5"/>
    <w:rsid w:val="00D56499"/>
    <w:rsid w:val="00D5657D"/>
    <w:rsid w:val="00D5691A"/>
    <w:rsid w:val="00D56B11"/>
    <w:rsid w:val="00D56BAE"/>
    <w:rsid w:val="00D56D5A"/>
    <w:rsid w:val="00D56FC6"/>
    <w:rsid w:val="00D57112"/>
    <w:rsid w:val="00D57132"/>
    <w:rsid w:val="00D57149"/>
    <w:rsid w:val="00D57231"/>
    <w:rsid w:val="00D57360"/>
    <w:rsid w:val="00D575F7"/>
    <w:rsid w:val="00D57729"/>
    <w:rsid w:val="00D57734"/>
    <w:rsid w:val="00D5799C"/>
    <w:rsid w:val="00D57E21"/>
    <w:rsid w:val="00D57EBA"/>
    <w:rsid w:val="00D601CF"/>
    <w:rsid w:val="00D60377"/>
    <w:rsid w:val="00D606A3"/>
    <w:rsid w:val="00D6075F"/>
    <w:rsid w:val="00D60798"/>
    <w:rsid w:val="00D60A2E"/>
    <w:rsid w:val="00D60C24"/>
    <w:rsid w:val="00D60E84"/>
    <w:rsid w:val="00D6120F"/>
    <w:rsid w:val="00D612CA"/>
    <w:rsid w:val="00D61380"/>
    <w:rsid w:val="00D615F2"/>
    <w:rsid w:val="00D61D45"/>
    <w:rsid w:val="00D61DDC"/>
    <w:rsid w:val="00D61F02"/>
    <w:rsid w:val="00D622CB"/>
    <w:rsid w:val="00D6241A"/>
    <w:rsid w:val="00D624E6"/>
    <w:rsid w:val="00D6269E"/>
    <w:rsid w:val="00D62729"/>
    <w:rsid w:val="00D62B36"/>
    <w:rsid w:val="00D62D71"/>
    <w:rsid w:val="00D62E1B"/>
    <w:rsid w:val="00D62F32"/>
    <w:rsid w:val="00D630BF"/>
    <w:rsid w:val="00D63518"/>
    <w:rsid w:val="00D635E4"/>
    <w:rsid w:val="00D63722"/>
    <w:rsid w:val="00D63881"/>
    <w:rsid w:val="00D638F9"/>
    <w:rsid w:val="00D63921"/>
    <w:rsid w:val="00D63A8E"/>
    <w:rsid w:val="00D63AA5"/>
    <w:rsid w:val="00D63B2D"/>
    <w:rsid w:val="00D63E29"/>
    <w:rsid w:val="00D63EDC"/>
    <w:rsid w:val="00D63F81"/>
    <w:rsid w:val="00D64100"/>
    <w:rsid w:val="00D64260"/>
    <w:rsid w:val="00D642C8"/>
    <w:rsid w:val="00D6483F"/>
    <w:rsid w:val="00D64861"/>
    <w:rsid w:val="00D64C63"/>
    <w:rsid w:val="00D650D8"/>
    <w:rsid w:val="00D651C7"/>
    <w:rsid w:val="00D6527D"/>
    <w:rsid w:val="00D6535D"/>
    <w:rsid w:val="00D653F4"/>
    <w:rsid w:val="00D658C1"/>
    <w:rsid w:val="00D65D1D"/>
    <w:rsid w:val="00D65DC0"/>
    <w:rsid w:val="00D65E1F"/>
    <w:rsid w:val="00D65ECE"/>
    <w:rsid w:val="00D6653B"/>
    <w:rsid w:val="00D6676A"/>
    <w:rsid w:val="00D66E38"/>
    <w:rsid w:val="00D66EE4"/>
    <w:rsid w:val="00D67433"/>
    <w:rsid w:val="00D67470"/>
    <w:rsid w:val="00D6773E"/>
    <w:rsid w:val="00D67808"/>
    <w:rsid w:val="00D67C57"/>
    <w:rsid w:val="00D67DE2"/>
    <w:rsid w:val="00D706F0"/>
    <w:rsid w:val="00D7090D"/>
    <w:rsid w:val="00D70933"/>
    <w:rsid w:val="00D709E7"/>
    <w:rsid w:val="00D70C32"/>
    <w:rsid w:val="00D70C45"/>
    <w:rsid w:val="00D7108A"/>
    <w:rsid w:val="00D7121C"/>
    <w:rsid w:val="00D71AD8"/>
    <w:rsid w:val="00D71C79"/>
    <w:rsid w:val="00D71CB3"/>
    <w:rsid w:val="00D728A3"/>
    <w:rsid w:val="00D72BCB"/>
    <w:rsid w:val="00D72EE6"/>
    <w:rsid w:val="00D73074"/>
    <w:rsid w:val="00D737BA"/>
    <w:rsid w:val="00D739E5"/>
    <w:rsid w:val="00D73B1F"/>
    <w:rsid w:val="00D73CD2"/>
    <w:rsid w:val="00D74161"/>
    <w:rsid w:val="00D744E6"/>
    <w:rsid w:val="00D74720"/>
    <w:rsid w:val="00D748B6"/>
    <w:rsid w:val="00D74C51"/>
    <w:rsid w:val="00D74FD1"/>
    <w:rsid w:val="00D75311"/>
    <w:rsid w:val="00D75402"/>
    <w:rsid w:val="00D75423"/>
    <w:rsid w:val="00D7552F"/>
    <w:rsid w:val="00D756A9"/>
    <w:rsid w:val="00D756DA"/>
    <w:rsid w:val="00D75CF9"/>
    <w:rsid w:val="00D76324"/>
    <w:rsid w:val="00D76351"/>
    <w:rsid w:val="00D76371"/>
    <w:rsid w:val="00D7637C"/>
    <w:rsid w:val="00D76592"/>
    <w:rsid w:val="00D76699"/>
    <w:rsid w:val="00D76855"/>
    <w:rsid w:val="00D7689D"/>
    <w:rsid w:val="00D76E05"/>
    <w:rsid w:val="00D76EAF"/>
    <w:rsid w:val="00D771C3"/>
    <w:rsid w:val="00D775DC"/>
    <w:rsid w:val="00D778EC"/>
    <w:rsid w:val="00D77BA6"/>
    <w:rsid w:val="00D77E43"/>
    <w:rsid w:val="00D80100"/>
    <w:rsid w:val="00D80274"/>
    <w:rsid w:val="00D803CC"/>
    <w:rsid w:val="00D80446"/>
    <w:rsid w:val="00D8045F"/>
    <w:rsid w:val="00D806CB"/>
    <w:rsid w:val="00D80BF8"/>
    <w:rsid w:val="00D80CEA"/>
    <w:rsid w:val="00D8156D"/>
    <w:rsid w:val="00D818F1"/>
    <w:rsid w:val="00D81B51"/>
    <w:rsid w:val="00D8216C"/>
    <w:rsid w:val="00D829D0"/>
    <w:rsid w:val="00D82DC8"/>
    <w:rsid w:val="00D83051"/>
    <w:rsid w:val="00D831DD"/>
    <w:rsid w:val="00D83287"/>
    <w:rsid w:val="00D83334"/>
    <w:rsid w:val="00D8349F"/>
    <w:rsid w:val="00D834AD"/>
    <w:rsid w:val="00D83B01"/>
    <w:rsid w:val="00D83BFF"/>
    <w:rsid w:val="00D83C06"/>
    <w:rsid w:val="00D83C97"/>
    <w:rsid w:val="00D844DB"/>
    <w:rsid w:val="00D848D2"/>
    <w:rsid w:val="00D84C71"/>
    <w:rsid w:val="00D84CFC"/>
    <w:rsid w:val="00D84D30"/>
    <w:rsid w:val="00D84DAA"/>
    <w:rsid w:val="00D84EBF"/>
    <w:rsid w:val="00D85B91"/>
    <w:rsid w:val="00D85D9B"/>
    <w:rsid w:val="00D85DAB"/>
    <w:rsid w:val="00D85ED2"/>
    <w:rsid w:val="00D86155"/>
    <w:rsid w:val="00D86699"/>
    <w:rsid w:val="00D866BF"/>
    <w:rsid w:val="00D86F75"/>
    <w:rsid w:val="00D872A1"/>
    <w:rsid w:val="00D87A14"/>
    <w:rsid w:val="00D87BAD"/>
    <w:rsid w:val="00D87FFD"/>
    <w:rsid w:val="00D900AA"/>
    <w:rsid w:val="00D900D0"/>
    <w:rsid w:val="00D906A9"/>
    <w:rsid w:val="00D90B8A"/>
    <w:rsid w:val="00D90CC2"/>
    <w:rsid w:val="00D90E31"/>
    <w:rsid w:val="00D90F4B"/>
    <w:rsid w:val="00D916A5"/>
    <w:rsid w:val="00D9195B"/>
    <w:rsid w:val="00D91A1E"/>
    <w:rsid w:val="00D91CAF"/>
    <w:rsid w:val="00D9215E"/>
    <w:rsid w:val="00D92218"/>
    <w:rsid w:val="00D922AD"/>
    <w:rsid w:val="00D92314"/>
    <w:rsid w:val="00D92520"/>
    <w:rsid w:val="00D92712"/>
    <w:rsid w:val="00D927CD"/>
    <w:rsid w:val="00D92BCF"/>
    <w:rsid w:val="00D92D70"/>
    <w:rsid w:val="00D92F80"/>
    <w:rsid w:val="00D93189"/>
    <w:rsid w:val="00D93405"/>
    <w:rsid w:val="00D93462"/>
    <w:rsid w:val="00D93780"/>
    <w:rsid w:val="00D93994"/>
    <w:rsid w:val="00D93E18"/>
    <w:rsid w:val="00D94118"/>
    <w:rsid w:val="00D94281"/>
    <w:rsid w:val="00D943F9"/>
    <w:rsid w:val="00D94849"/>
    <w:rsid w:val="00D94951"/>
    <w:rsid w:val="00D94C3A"/>
    <w:rsid w:val="00D950CC"/>
    <w:rsid w:val="00D9556D"/>
    <w:rsid w:val="00D957BB"/>
    <w:rsid w:val="00D9585B"/>
    <w:rsid w:val="00D95BE9"/>
    <w:rsid w:val="00D95C3D"/>
    <w:rsid w:val="00D95C44"/>
    <w:rsid w:val="00D95D48"/>
    <w:rsid w:val="00D9631C"/>
    <w:rsid w:val="00D96742"/>
    <w:rsid w:val="00D96879"/>
    <w:rsid w:val="00D9695B"/>
    <w:rsid w:val="00D9697D"/>
    <w:rsid w:val="00D96A5C"/>
    <w:rsid w:val="00D96A76"/>
    <w:rsid w:val="00D96B71"/>
    <w:rsid w:val="00D96D0F"/>
    <w:rsid w:val="00D96E6F"/>
    <w:rsid w:val="00D96F49"/>
    <w:rsid w:val="00D97290"/>
    <w:rsid w:val="00D974AE"/>
    <w:rsid w:val="00D9751B"/>
    <w:rsid w:val="00D9775B"/>
    <w:rsid w:val="00D97842"/>
    <w:rsid w:val="00D97A3E"/>
    <w:rsid w:val="00D97E5A"/>
    <w:rsid w:val="00D97EDD"/>
    <w:rsid w:val="00DA0152"/>
    <w:rsid w:val="00DA039F"/>
    <w:rsid w:val="00DA064B"/>
    <w:rsid w:val="00DA0804"/>
    <w:rsid w:val="00DA0A0F"/>
    <w:rsid w:val="00DA0A46"/>
    <w:rsid w:val="00DA0AE8"/>
    <w:rsid w:val="00DA0F30"/>
    <w:rsid w:val="00DA0FDA"/>
    <w:rsid w:val="00DA10E2"/>
    <w:rsid w:val="00DA11A6"/>
    <w:rsid w:val="00DA1281"/>
    <w:rsid w:val="00DA131B"/>
    <w:rsid w:val="00DA13C2"/>
    <w:rsid w:val="00DA17D3"/>
    <w:rsid w:val="00DA1D49"/>
    <w:rsid w:val="00DA1EE8"/>
    <w:rsid w:val="00DA204F"/>
    <w:rsid w:val="00DA249E"/>
    <w:rsid w:val="00DA24EA"/>
    <w:rsid w:val="00DA26D5"/>
    <w:rsid w:val="00DA2B8F"/>
    <w:rsid w:val="00DA2BB6"/>
    <w:rsid w:val="00DA2C2E"/>
    <w:rsid w:val="00DA2CF5"/>
    <w:rsid w:val="00DA3015"/>
    <w:rsid w:val="00DA30EF"/>
    <w:rsid w:val="00DA347E"/>
    <w:rsid w:val="00DA36B8"/>
    <w:rsid w:val="00DA37CA"/>
    <w:rsid w:val="00DA386D"/>
    <w:rsid w:val="00DA3BE2"/>
    <w:rsid w:val="00DA3E9C"/>
    <w:rsid w:val="00DA4095"/>
    <w:rsid w:val="00DA443B"/>
    <w:rsid w:val="00DA4843"/>
    <w:rsid w:val="00DA4D8C"/>
    <w:rsid w:val="00DA4FAD"/>
    <w:rsid w:val="00DA58EA"/>
    <w:rsid w:val="00DA5F6A"/>
    <w:rsid w:val="00DA60D1"/>
    <w:rsid w:val="00DA6196"/>
    <w:rsid w:val="00DA61E5"/>
    <w:rsid w:val="00DA6241"/>
    <w:rsid w:val="00DA6360"/>
    <w:rsid w:val="00DA68FC"/>
    <w:rsid w:val="00DA69A8"/>
    <w:rsid w:val="00DA6FD5"/>
    <w:rsid w:val="00DA7144"/>
    <w:rsid w:val="00DA72A3"/>
    <w:rsid w:val="00DA746B"/>
    <w:rsid w:val="00DA7592"/>
    <w:rsid w:val="00DA77E5"/>
    <w:rsid w:val="00DA78E5"/>
    <w:rsid w:val="00DA7C9B"/>
    <w:rsid w:val="00DA7F26"/>
    <w:rsid w:val="00DB0884"/>
    <w:rsid w:val="00DB119A"/>
    <w:rsid w:val="00DB146F"/>
    <w:rsid w:val="00DB14AE"/>
    <w:rsid w:val="00DB17D1"/>
    <w:rsid w:val="00DB1823"/>
    <w:rsid w:val="00DB19A3"/>
    <w:rsid w:val="00DB1E09"/>
    <w:rsid w:val="00DB215D"/>
    <w:rsid w:val="00DB29F9"/>
    <w:rsid w:val="00DB2DF1"/>
    <w:rsid w:val="00DB30BD"/>
    <w:rsid w:val="00DB3123"/>
    <w:rsid w:val="00DB31F0"/>
    <w:rsid w:val="00DB31F8"/>
    <w:rsid w:val="00DB32D8"/>
    <w:rsid w:val="00DB3445"/>
    <w:rsid w:val="00DB39AC"/>
    <w:rsid w:val="00DB3C15"/>
    <w:rsid w:val="00DB3CBB"/>
    <w:rsid w:val="00DB4033"/>
    <w:rsid w:val="00DB40F0"/>
    <w:rsid w:val="00DB43C5"/>
    <w:rsid w:val="00DB44AF"/>
    <w:rsid w:val="00DB4A32"/>
    <w:rsid w:val="00DB4A61"/>
    <w:rsid w:val="00DB4CA0"/>
    <w:rsid w:val="00DB4F9E"/>
    <w:rsid w:val="00DB5040"/>
    <w:rsid w:val="00DB574F"/>
    <w:rsid w:val="00DB57B8"/>
    <w:rsid w:val="00DB5AA9"/>
    <w:rsid w:val="00DB5AD4"/>
    <w:rsid w:val="00DB6407"/>
    <w:rsid w:val="00DB64C3"/>
    <w:rsid w:val="00DB64F8"/>
    <w:rsid w:val="00DB67F7"/>
    <w:rsid w:val="00DB6CFA"/>
    <w:rsid w:val="00DB6E91"/>
    <w:rsid w:val="00DB705D"/>
    <w:rsid w:val="00DB74BA"/>
    <w:rsid w:val="00DB76D9"/>
    <w:rsid w:val="00DB786D"/>
    <w:rsid w:val="00DB7945"/>
    <w:rsid w:val="00DB7A77"/>
    <w:rsid w:val="00DB7C98"/>
    <w:rsid w:val="00DB7CA1"/>
    <w:rsid w:val="00DC0004"/>
    <w:rsid w:val="00DC035C"/>
    <w:rsid w:val="00DC037F"/>
    <w:rsid w:val="00DC04BB"/>
    <w:rsid w:val="00DC0A7D"/>
    <w:rsid w:val="00DC0B50"/>
    <w:rsid w:val="00DC0EFD"/>
    <w:rsid w:val="00DC0F09"/>
    <w:rsid w:val="00DC1478"/>
    <w:rsid w:val="00DC1520"/>
    <w:rsid w:val="00DC16D6"/>
    <w:rsid w:val="00DC18BE"/>
    <w:rsid w:val="00DC1D7C"/>
    <w:rsid w:val="00DC1ECF"/>
    <w:rsid w:val="00DC2080"/>
    <w:rsid w:val="00DC208D"/>
    <w:rsid w:val="00DC2313"/>
    <w:rsid w:val="00DC239A"/>
    <w:rsid w:val="00DC23D0"/>
    <w:rsid w:val="00DC24A9"/>
    <w:rsid w:val="00DC2561"/>
    <w:rsid w:val="00DC2588"/>
    <w:rsid w:val="00DC26BD"/>
    <w:rsid w:val="00DC28E5"/>
    <w:rsid w:val="00DC2A1D"/>
    <w:rsid w:val="00DC2AA3"/>
    <w:rsid w:val="00DC2B0F"/>
    <w:rsid w:val="00DC2E46"/>
    <w:rsid w:val="00DC2F18"/>
    <w:rsid w:val="00DC2FD2"/>
    <w:rsid w:val="00DC32E2"/>
    <w:rsid w:val="00DC35B4"/>
    <w:rsid w:val="00DC3BBC"/>
    <w:rsid w:val="00DC3C23"/>
    <w:rsid w:val="00DC3CB9"/>
    <w:rsid w:val="00DC3CBA"/>
    <w:rsid w:val="00DC4425"/>
    <w:rsid w:val="00DC470D"/>
    <w:rsid w:val="00DC4C9A"/>
    <w:rsid w:val="00DC4DE5"/>
    <w:rsid w:val="00DC4E04"/>
    <w:rsid w:val="00DC52A5"/>
    <w:rsid w:val="00DC5302"/>
    <w:rsid w:val="00DC549E"/>
    <w:rsid w:val="00DC5643"/>
    <w:rsid w:val="00DC59BA"/>
    <w:rsid w:val="00DC5BC8"/>
    <w:rsid w:val="00DC5CD6"/>
    <w:rsid w:val="00DC5F9F"/>
    <w:rsid w:val="00DC5FEB"/>
    <w:rsid w:val="00DC600D"/>
    <w:rsid w:val="00DC6354"/>
    <w:rsid w:val="00DC6360"/>
    <w:rsid w:val="00DC64FD"/>
    <w:rsid w:val="00DC68A0"/>
    <w:rsid w:val="00DC697E"/>
    <w:rsid w:val="00DC6A84"/>
    <w:rsid w:val="00DC6E45"/>
    <w:rsid w:val="00DC72A2"/>
    <w:rsid w:val="00DC7373"/>
    <w:rsid w:val="00DC797D"/>
    <w:rsid w:val="00DC7A5E"/>
    <w:rsid w:val="00DC7AA9"/>
    <w:rsid w:val="00DC7BD9"/>
    <w:rsid w:val="00DD05D1"/>
    <w:rsid w:val="00DD0674"/>
    <w:rsid w:val="00DD08CA"/>
    <w:rsid w:val="00DD0940"/>
    <w:rsid w:val="00DD0D71"/>
    <w:rsid w:val="00DD1387"/>
    <w:rsid w:val="00DD1518"/>
    <w:rsid w:val="00DD169E"/>
    <w:rsid w:val="00DD181F"/>
    <w:rsid w:val="00DD1D13"/>
    <w:rsid w:val="00DD22ED"/>
    <w:rsid w:val="00DD26A8"/>
    <w:rsid w:val="00DD293D"/>
    <w:rsid w:val="00DD298D"/>
    <w:rsid w:val="00DD29B0"/>
    <w:rsid w:val="00DD2AC0"/>
    <w:rsid w:val="00DD3207"/>
    <w:rsid w:val="00DD358E"/>
    <w:rsid w:val="00DD3774"/>
    <w:rsid w:val="00DD3BBA"/>
    <w:rsid w:val="00DD3BF4"/>
    <w:rsid w:val="00DD3D95"/>
    <w:rsid w:val="00DD4033"/>
    <w:rsid w:val="00DD418F"/>
    <w:rsid w:val="00DD4300"/>
    <w:rsid w:val="00DD43D9"/>
    <w:rsid w:val="00DD466C"/>
    <w:rsid w:val="00DD4674"/>
    <w:rsid w:val="00DD4AE8"/>
    <w:rsid w:val="00DD4C35"/>
    <w:rsid w:val="00DD5404"/>
    <w:rsid w:val="00DD5BA0"/>
    <w:rsid w:val="00DD5CDD"/>
    <w:rsid w:val="00DD5FC0"/>
    <w:rsid w:val="00DD60EF"/>
    <w:rsid w:val="00DD630B"/>
    <w:rsid w:val="00DD6466"/>
    <w:rsid w:val="00DD652C"/>
    <w:rsid w:val="00DD6780"/>
    <w:rsid w:val="00DD6841"/>
    <w:rsid w:val="00DD68E4"/>
    <w:rsid w:val="00DD69E6"/>
    <w:rsid w:val="00DD6ABC"/>
    <w:rsid w:val="00DD6D1A"/>
    <w:rsid w:val="00DD6E33"/>
    <w:rsid w:val="00DD743A"/>
    <w:rsid w:val="00DD7702"/>
    <w:rsid w:val="00DD7715"/>
    <w:rsid w:val="00DD7A22"/>
    <w:rsid w:val="00DD7DE0"/>
    <w:rsid w:val="00DD7E82"/>
    <w:rsid w:val="00DE026B"/>
    <w:rsid w:val="00DE02F4"/>
    <w:rsid w:val="00DE0413"/>
    <w:rsid w:val="00DE058D"/>
    <w:rsid w:val="00DE07D7"/>
    <w:rsid w:val="00DE097E"/>
    <w:rsid w:val="00DE0C3F"/>
    <w:rsid w:val="00DE126A"/>
    <w:rsid w:val="00DE12C3"/>
    <w:rsid w:val="00DE1458"/>
    <w:rsid w:val="00DE17C1"/>
    <w:rsid w:val="00DE185B"/>
    <w:rsid w:val="00DE18DD"/>
    <w:rsid w:val="00DE1AD7"/>
    <w:rsid w:val="00DE1BCF"/>
    <w:rsid w:val="00DE281A"/>
    <w:rsid w:val="00DE2896"/>
    <w:rsid w:val="00DE2958"/>
    <w:rsid w:val="00DE2CCE"/>
    <w:rsid w:val="00DE2D06"/>
    <w:rsid w:val="00DE359C"/>
    <w:rsid w:val="00DE3683"/>
    <w:rsid w:val="00DE388B"/>
    <w:rsid w:val="00DE3A52"/>
    <w:rsid w:val="00DE4214"/>
    <w:rsid w:val="00DE425D"/>
    <w:rsid w:val="00DE438F"/>
    <w:rsid w:val="00DE43C9"/>
    <w:rsid w:val="00DE47AF"/>
    <w:rsid w:val="00DE4A67"/>
    <w:rsid w:val="00DE4C25"/>
    <w:rsid w:val="00DE4DF6"/>
    <w:rsid w:val="00DE4ED6"/>
    <w:rsid w:val="00DE4F47"/>
    <w:rsid w:val="00DE5114"/>
    <w:rsid w:val="00DE5306"/>
    <w:rsid w:val="00DE5436"/>
    <w:rsid w:val="00DE5579"/>
    <w:rsid w:val="00DE58B3"/>
    <w:rsid w:val="00DE58CD"/>
    <w:rsid w:val="00DE593E"/>
    <w:rsid w:val="00DE5A9C"/>
    <w:rsid w:val="00DE5B5D"/>
    <w:rsid w:val="00DE5B69"/>
    <w:rsid w:val="00DE6083"/>
    <w:rsid w:val="00DE60C4"/>
    <w:rsid w:val="00DE6281"/>
    <w:rsid w:val="00DE643E"/>
    <w:rsid w:val="00DE6578"/>
    <w:rsid w:val="00DE6AA6"/>
    <w:rsid w:val="00DE731F"/>
    <w:rsid w:val="00DE7417"/>
    <w:rsid w:val="00DE760E"/>
    <w:rsid w:val="00DE772F"/>
    <w:rsid w:val="00DE7948"/>
    <w:rsid w:val="00DE7FCD"/>
    <w:rsid w:val="00DF05A1"/>
    <w:rsid w:val="00DF05F0"/>
    <w:rsid w:val="00DF0B52"/>
    <w:rsid w:val="00DF0F23"/>
    <w:rsid w:val="00DF1622"/>
    <w:rsid w:val="00DF17EC"/>
    <w:rsid w:val="00DF19B5"/>
    <w:rsid w:val="00DF1AD1"/>
    <w:rsid w:val="00DF267A"/>
    <w:rsid w:val="00DF2913"/>
    <w:rsid w:val="00DF2A31"/>
    <w:rsid w:val="00DF2C53"/>
    <w:rsid w:val="00DF2C65"/>
    <w:rsid w:val="00DF302F"/>
    <w:rsid w:val="00DF3084"/>
    <w:rsid w:val="00DF311F"/>
    <w:rsid w:val="00DF3551"/>
    <w:rsid w:val="00DF3C87"/>
    <w:rsid w:val="00DF408A"/>
    <w:rsid w:val="00DF4853"/>
    <w:rsid w:val="00DF4B65"/>
    <w:rsid w:val="00DF4D8D"/>
    <w:rsid w:val="00DF4F7B"/>
    <w:rsid w:val="00DF4F7F"/>
    <w:rsid w:val="00DF5057"/>
    <w:rsid w:val="00DF5121"/>
    <w:rsid w:val="00DF557D"/>
    <w:rsid w:val="00DF5630"/>
    <w:rsid w:val="00DF5987"/>
    <w:rsid w:val="00DF5B5E"/>
    <w:rsid w:val="00DF5C53"/>
    <w:rsid w:val="00DF5E12"/>
    <w:rsid w:val="00DF5ECF"/>
    <w:rsid w:val="00DF5F1B"/>
    <w:rsid w:val="00DF6015"/>
    <w:rsid w:val="00DF6437"/>
    <w:rsid w:val="00DF6444"/>
    <w:rsid w:val="00DF6ECA"/>
    <w:rsid w:val="00DF6EFF"/>
    <w:rsid w:val="00DF70C6"/>
    <w:rsid w:val="00DF7323"/>
    <w:rsid w:val="00DF735A"/>
    <w:rsid w:val="00DF736C"/>
    <w:rsid w:val="00E00024"/>
    <w:rsid w:val="00E0033D"/>
    <w:rsid w:val="00E003B3"/>
    <w:rsid w:val="00E00401"/>
    <w:rsid w:val="00E00908"/>
    <w:rsid w:val="00E00B87"/>
    <w:rsid w:val="00E00BBA"/>
    <w:rsid w:val="00E00CF9"/>
    <w:rsid w:val="00E017B6"/>
    <w:rsid w:val="00E01890"/>
    <w:rsid w:val="00E01AA7"/>
    <w:rsid w:val="00E01BB4"/>
    <w:rsid w:val="00E01D7F"/>
    <w:rsid w:val="00E01FA2"/>
    <w:rsid w:val="00E024D7"/>
    <w:rsid w:val="00E02977"/>
    <w:rsid w:val="00E02F61"/>
    <w:rsid w:val="00E02FD9"/>
    <w:rsid w:val="00E0342C"/>
    <w:rsid w:val="00E0369E"/>
    <w:rsid w:val="00E036F9"/>
    <w:rsid w:val="00E03782"/>
    <w:rsid w:val="00E03798"/>
    <w:rsid w:val="00E03977"/>
    <w:rsid w:val="00E03A81"/>
    <w:rsid w:val="00E03ADB"/>
    <w:rsid w:val="00E03F65"/>
    <w:rsid w:val="00E03F7F"/>
    <w:rsid w:val="00E04028"/>
    <w:rsid w:val="00E042A9"/>
    <w:rsid w:val="00E0494E"/>
    <w:rsid w:val="00E049CB"/>
    <w:rsid w:val="00E04A88"/>
    <w:rsid w:val="00E04AAE"/>
    <w:rsid w:val="00E05051"/>
    <w:rsid w:val="00E050CF"/>
    <w:rsid w:val="00E05162"/>
    <w:rsid w:val="00E05172"/>
    <w:rsid w:val="00E052E9"/>
    <w:rsid w:val="00E056E7"/>
    <w:rsid w:val="00E05922"/>
    <w:rsid w:val="00E0596F"/>
    <w:rsid w:val="00E05B68"/>
    <w:rsid w:val="00E05BC3"/>
    <w:rsid w:val="00E05D7C"/>
    <w:rsid w:val="00E05F7F"/>
    <w:rsid w:val="00E05F9C"/>
    <w:rsid w:val="00E0625C"/>
    <w:rsid w:val="00E06341"/>
    <w:rsid w:val="00E06408"/>
    <w:rsid w:val="00E0653F"/>
    <w:rsid w:val="00E06567"/>
    <w:rsid w:val="00E06782"/>
    <w:rsid w:val="00E06AAD"/>
    <w:rsid w:val="00E06C27"/>
    <w:rsid w:val="00E06D66"/>
    <w:rsid w:val="00E06E97"/>
    <w:rsid w:val="00E07292"/>
    <w:rsid w:val="00E072E2"/>
    <w:rsid w:val="00E0732E"/>
    <w:rsid w:val="00E076C1"/>
    <w:rsid w:val="00E076D1"/>
    <w:rsid w:val="00E07CCA"/>
    <w:rsid w:val="00E104D8"/>
    <w:rsid w:val="00E10632"/>
    <w:rsid w:val="00E1078A"/>
    <w:rsid w:val="00E1078D"/>
    <w:rsid w:val="00E108FA"/>
    <w:rsid w:val="00E10B56"/>
    <w:rsid w:val="00E10D75"/>
    <w:rsid w:val="00E11070"/>
    <w:rsid w:val="00E112E7"/>
    <w:rsid w:val="00E11399"/>
    <w:rsid w:val="00E11656"/>
    <w:rsid w:val="00E11789"/>
    <w:rsid w:val="00E11910"/>
    <w:rsid w:val="00E11938"/>
    <w:rsid w:val="00E11A1E"/>
    <w:rsid w:val="00E11BD2"/>
    <w:rsid w:val="00E11D20"/>
    <w:rsid w:val="00E11ED4"/>
    <w:rsid w:val="00E12380"/>
    <w:rsid w:val="00E1249A"/>
    <w:rsid w:val="00E125DA"/>
    <w:rsid w:val="00E128C0"/>
    <w:rsid w:val="00E12DD7"/>
    <w:rsid w:val="00E13244"/>
    <w:rsid w:val="00E13276"/>
    <w:rsid w:val="00E132C3"/>
    <w:rsid w:val="00E13E8F"/>
    <w:rsid w:val="00E13F1F"/>
    <w:rsid w:val="00E1402C"/>
    <w:rsid w:val="00E140B5"/>
    <w:rsid w:val="00E1459A"/>
    <w:rsid w:val="00E14A39"/>
    <w:rsid w:val="00E14C26"/>
    <w:rsid w:val="00E14E23"/>
    <w:rsid w:val="00E14FC0"/>
    <w:rsid w:val="00E15723"/>
    <w:rsid w:val="00E15982"/>
    <w:rsid w:val="00E15A9E"/>
    <w:rsid w:val="00E15CAB"/>
    <w:rsid w:val="00E15CF3"/>
    <w:rsid w:val="00E15F1F"/>
    <w:rsid w:val="00E16010"/>
    <w:rsid w:val="00E1653C"/>
    <w:rsid w:val="00E16765"/>
    <w:rsid w:val="00E1744D"/>
    <w:rsid w:val="00E17516"/>
    <w:rsid w:val="00E175AF"/>
    <w:rsid w:val="00E17630"/>
    <w:rsid w:val="00E177E4"/>
    <w:rsid w:val="00E179FF"/>
    <w:rsid w:val="00E17AB4"/>
    <w:rsid w:val="00E17DAF"/>
    <w:rsid w:val="00E20235"/>
    <w:rsid w:val="00E204B9"/>
    <w:rsid w:val="00E20886"/>
    <w:rsid w:val="00E20A1B"/>
    <w:rsid w:val="00E20F01"/>
    <w:rsid w:val="00E20F27"/>
    <w:rsid w:val="00E20F63"/>
    <w:rsid w:val="00E21091"/>
    <w:rsid w:val="00E2126C"/>
    <w:rsid w:val="00E21278"/>
    <w:rsid w:val="00E21620"/>
    <w:rsid w:val="00E21985"/>
    <w:rsid w:val="00E21A0C"/>
    <w:rsid w:val="00E21A2E"/>
    <w:rsid w:val="00E21AD8"/>
    <w:rsid w:val="00E21AE0"/>
    <w:rsid w:val="00E22418"/>
    <w:rsid w:val="00E224B0"/>
    <w:rsid w:val="00E22832"/>
    <w:rsid w:val="00E22952"/>
    <w:rsid w:val="00E229EB"/>
    <w:rsid w:val="00E22EF8"/>
    <w:rsid w:val="00E230C9"/>
    <w:rsid w:val="00E23153"/>
    <w:rsid w:val="00E231F3"/>
    <w:rsid w:val="00E23212"/>
    <w:rsid w:val="00E23262"/>
    <w:rsid w:val="00E232FD"/>
    <w:rsid w:val="00E2344C"/>
    <w:rsid w:val="00E23572"/>
    <w:rsid w:val="00E23953"/>
    <w:rsid w:val="00E23E25"/>
    <w:rsid w:val="00E24234"/>
    <w:rsid w:val="00E24408"/>
    <w:rsid w:val="00E2442A"/>
    <w:rsid w:val="00E24547"/>
    <w:rsid w:val="00E246DF"/>
    <w:rsid w:val="00E24891"/>
    <w:rsid w:val="00E248AF"/>
    <w:rsid w:val="00E24BAE"/>
    <w:rsid w:val="00E24F91"/>
    <w:rsid w:val="00E25411"/>
    <w:rsid w:val="00E254B8"/>
    <w:rsid w:val="00E25508"/>
    <w:rsid w:val="00E25562"/>
    <w:rsid w:val="00E258A5"/>
    <w:rsid w:val="00E25C3A"/>
    <w:rsid w:val="00E25E03"/>
    <w:rsid w:val="00E260CC"/>
    <w:rsid w:val="00E2633A"/>
    <w:rsid w:val="00E26841"/>
    <w:rsid w:val="00E26F03"/>
    <w:rsid w:val="00E2701B"/>
    <w:rsid w:val="00E2721B"/>
    <w:rsid w:val="00E276D1"/>
    <w:rsid w:val="00E27762"/>
    <w:rsid w:val="00E27784"/>
    <w:rsid w:val="00E277BF"/>
    <w:rsid w:val="00E27802"/>
    <w:rsid w:val="00E2786A"/>
    <w:rsid w:val="00E27C11"/>
    <w:rsid w:val="00E30880"/>
    <w:rsid w:val="00E3089A"/>
    <w:rsid w:val="00E308E4"/>
    <w:rsid w:val="00E30967"/>
    <w:rsid w:val="00E309C6"/>
    <w:rsid w:val="00E30DA1"/>
    <w:rsid w:val="00E30F8B"/>
    <w:rsid w:val="00E3100E"/>
    <w:rsid w:val="00E31444"/>
    <w:rsid w:val="00E314F1"/>
    <w:rsid w:val="00E317E2"/>
    <w:rsid w:val="00E3187D"/>
    <w:rsid w:val="00E31954"/>
    <w:rsid w:val="00E31A1B"/>
    <w:rsid w:val="00E31AC6"/>
    <w:rsid w:val="00E31B75"/>
    <w:rsid w:val="00E32062"/>
    <w:rsid w:val="00E32074"/>
    <w:rsid w:val="00E32213"/>
    <w:rsid w:val="00E32336"/>
    <w:rsid w:val="00E323C5"/>
    <w:rsid w:val="00E3246D"/>
    <w:rsid w:val="00E327E8"/>
    <w:rsid w:val="00E329A6"/>
    <w:rsid w:val="00E32B70"/>
    <w:rsid w:val="00E32BD2"/>
    <w:rsid w:val="00E33231"/>
    <w:rsid w:val="00E335B0"/>
    <w:rsid w:val="00E335C9"/>
    <w:rsid w:val="00E336FE"/>
    <w:rsid w:val="00E338B0"/>
    <w:rsid w:val="00E33EE6"/>
    <w:rsid w:val="00E33F35"/>
    <w:rsid w:val="00E342F7"/>
    <w:rsid w:val="00E34348"/>
    <w:rsid w:val="00E345D9"/>
    <w:rsid w:val="00E34849"/>
    <w:rsid w:val="00E3494D"/>
    <w:rsid w:val="00E34A3E"/>
    <w:rsid w:val="00E34C27"/>
    <w:rsid w:val="00E34CF9"/>
    <w:rsid w:val="00E35220"/>
    <w:rsid w:val="00E3522E"/>
    <w:rsid w:val="00E352FB"/>
    <w:rsid w:val="00E35300"/>
    <w:rsid w:val="00E35C30"/>
    <w:rsid w:val="00E35CE3"/>
    <w:rsid w:val="00E35D76"/>
    <w:rsid w:val="00E361D2"/>
    <w:rsid w:val="00E36430"/>
    <w:rsid w:val="00E36472"/>
    <w:rsid w:val="00E36A4F"/>
    <w:rsid w:val="00E36B01"/>
    <w:rsid w:val="00E36B9E"/>
    <w:rsid w:val="00E370EB"/>
    <w:rsid w:val="00E3725B"/>
    <w:rsid w:val="00E37632"/>
    <w:rsid w:val="00E377DB"/>
    <w:rsid w:val="00E4024A"/>
    <w:rsid w:val="00E402AF"/>
    <w:rsid w:val="00E4049F"/>
    <w:rsid w:val="00E40929"/>
    <w:rsid w:val="00E40AAB"/>
    <w:rsid w:val="00E40EF7"/>
    <w:rsid w:val="00E40FF6"/>
    <w:rsid w:val="00E410FC"/>
    <w:rsid w:val="00E412B0"/>
    <w:rsid w:val="00E413F2"/>
    <w:rsid w:val="00E414D5"/>
    <w:rsid w:val="00E4163C"/>
    <w:rsid w:val="00E417F9"/>
    <w:rsid w:val="00E41929"/>
    <w:rsid w:val="00E41A05"/>
    <w:rsid w:val="00E41BAF"/>
    <w:rsid w:val="00E41BE6"/>
    <w:rsid w:val="00E41F9A"/>
    <w:rsid w:val="00E41FD2"/>
    <w:rsid w:val="00E421D0"/>
    <w:rsid w:val="00E426C2"/>
    <w:rsid w:val="00E4292D"/>
    <w:rsid w:val="00E42A13"/>
    <w:rsid w:val="00E42E24"/>
    <w:rsid w:val="00E42F1B"/>
    <w:rsid w:val="00E42FAB"/>
    <w:rsid w:val="00E43037"/>
    <w:rsid w:val="00E431FC"/>
    <w:rsid w:val="00E432D3"/>
    <w:rsid w:val="00E434F2"/>
    <w:rsid w:val="00E436FA"/>
    <w:rsid w:val="00E43921"/>
    <w:rsid w:val="00E43C08"/>
    <w:rsid w:val="00E43CCA"/>
    <w:rsid w:val="00E43D8F"/>
    <w:rsid w:val="00E44EB0"/>
    <w:rsid w:val="00E44F73"/>
    <w:rsid w:val="00E45085"/>
    <w:rsid w:val="00E4508A"/>
    <w:rsid w:val="00E4518B"/>
    <w:rsid w:val="00E4552D"/>
    <w:rsid w:val="00E45860"/>
    <w:rsid w:val="00E45A2F"/>
    <w:rsid w:val="00E45ACB"/>
    <w:rsid w:val="00E45CB6"/>
    <w:rsid w:val="00E45D9F"/>
    <w:rsid w:val="00E45E45"/>
    <w:rsid w:val="00E45E7E"/>
    <w:rsid w:val="00E4646E"/>
    <w:rsid w:val="00E4673D"/>
    <w:rsid w:val="00E467BB"/>
    <w:rsid w:val="00E46801"/>
    <w:rsid w:val="00E468C2"/>
    <w:rsid w:val="00E468FA"/>
    <w:rsid w:val="00E46A1C"/>
    <w:rsid w:val="00E46A46"/>
    <w:rsid w:val="00E46B0C"/>
    <w:rsid w:val="00E46BF8"/>
    <w:rsid w:val="00E46FB2"/>
    <w:rsid w:val="00E470CF"/>
    <w:rsid w:val="00E478F2"/>
    <w:rsid w:val="00E47DEB"/>
    <w:rsid w:val="00E507A3"/>
    <w:rsid w:val="00E508DF"/>
    <w:rsid w:val="00E50941"/>
    <w:rsid w:val="00E50E21"/>
    <w:rsid w:val="00E51253"/>
    <w:rsid w:val="00E5126A"/>
    <w:rsid w:val="00E513BB"/>
    <w:rsid w:val="00E51687"/>
    <w:rsid w:val="00E51697"/>
    <w:rsid w:val="00E51842"/>
    <w:rsid w:val="00E51AB9"/>
    <w:rsid w:val="00E51E59"/>
    <w:rsid w:val="00E52302"/>
    <w:rsid w:val="00E52308"/>
    <w:rsid w:val="00E5242A"/>
    <w:rsid w:val="00E52502"/>
    <w:rsid w:val="00E52A85"/>
    <w:rsid w:val="00E52CE0"/>
    <w:rsid w:val="00E52DBF"/>
    <w:rsid w:val="00E53048"/>
    <w:rsid w:val="00E5308D"/>
    <w:rsid w:val="00E530B9"/>
    <w:rsid w:val="00E5322F"/>
    <w:rsid w:val="00E533C7"/>
    <w:rsid w:val="00E53550"/>
    <w:rsid w:val="00E53A70"/>
    <w:rsid w:val="00E53CB4"/>
    <w:rsid w:val="00E53D87"/>
    <w:rsid w:val="00E53D8A"/>
    <w:rsid w:val="00E54286"/>
    <w:rsid w:val="00E54334"/>
    <w:rsid w:val="00E543AA"/>
    <w:rsid w:val="00E54426"/>
    <w:rsid w:val="00E54543"/>
    <w:rsid w:val="00E54865"/>
    <w:rsid w:val="00E54931"/>
    <w:rsid w:val="00E5510D"/>
    <w:rsid w:val="00E5514E"/>
    <w:rsid w:val="00E55246"/>
    <w:rsid w:val="00E555AA"/>
    <w:rsid w:val="00E555BA"/>
    <w:rsid w:val="00E555CF"/>
    <w:rsid w:val="00E55CAA"/>
    <w:rsid w:val="00E55D0D"/>
    <w:rsid w:val="00E55E0B"/>
    <w:rsid w:val="00E55F0C"/>
    <w:rsid w:val="00E56282"/>
    <w:rsid w:val="00E564BE"/>
    <w:rsid w:val="00E565DB"/>
    <w:rsid w:val="00E56655"/>
    <w:rsid w:val="00E566A9"/>
    <w:rsid w:val="00E56BB6"/>
    <w:rsid w:val="00E56D5A"/>
    <w:rsid w:val="00E573BD"/>
    <w:rsid w:val="00E57523"/>
    <w:rsid w:val="00E57A67"/>
    <w:rsid w:val="00E57AEA"/>
    <w:rsid w:val="00E57AF9"/>
    <w:rsid w:val="00E57D5F"/>
    <w:rsid w:val="00E57E88"/>
    <w:rsid w:val="00E57EB7"/>
    <w:rsid w:val="00E60176"/>
    <w:rsid w:val="00E601D1"/>
    <w:rsid w:val="00E6038D"/>
    <w:rsid w:val="00E604A7"/>
    <w:rsid w:val="00E6075B"/>
    <w:rsid w:val="00E60807"/>
    <w:rsid w:val="00E60B04"/>
    <w:rsid w:val="00E60DE7"/>
    <w:rsid w:val="00E61036"/>
    <w:rsid w:val="00E6128D"/>
    <w:rsid w:val="00E618D8"/>
    <w:rsid w:val="00E61925"/>
    <w:rsid w:val="00E619E3"/>
    <w:rsid w:val="00E61B46"/>
    <w:rsid w:val="00E61D23"/>
    <w:rsid w:val="00E61E99"/>
    <w:rsid w:val="00E61FB8"/>
    <w:rsid w:val="00E61FC2"/>
    <w:rsid w:val="00E62502"/>
    <w:rsid w:val="00E62BFA"/>
    <w:rsid w:val="00E62E08"/>
    <w:rsid w:val="00E63167"/>
    <w:rsid w:val="00E631C7"/>
    <w:rsid w:val="00E635E7"/>
    <w:rsid w:val="00E63650"/>
    <w:rsid w:val="00E63693"/>
    <w:rsid w:val="00E63ABF"/>
    <w:rsid w:val="00E63BF2"/>
    <w:rsid w:val="00E63CCF"/>
    <w:rsid w:val="00E63CFA"/>
    <w:rsid w:val="00E641C7"/>
    <w:rsid w:val="00E6422B"/>
    <w:rsid w:val="00E6446F"/>
    <w:rsid w:val="00E644AA"/>
    <w:rsid w:val="00E64886"/>
    <w:rsid w:val="00E64F0C"/>
    <w:rsid w:val="00E6544D"/>
    <w:rsid w:val="00E6557C"/>
    <w:rsid w:val="00E657C1"/>
    <w:rsid w:val="00E65947"/>
    <w:rsid w:val="00E65C38"/>
    <w:rsid w:val="00E65D1C"/>
    <w:rsid w:val="00E65F41"/>
    <w:rsid w:val="00E6651E"/>
    <w:rsid w:val="00E66820"/>
    <w:rsid w:val="00E6682B"/>
    <w:rsid w:val="00E66B13"/>
    <w:rsid w:val="00E66F14"/>
    <w:rsid w:val="00E67000"/>
    <w:rsid w:val="00E672A8"/>
    <w:rsid w:val="00E672BE"/>
    <w:rsid w:val="00E67324"/>
    <w:rsid w:val="00E674F6"/>
    <w:rsid w:val="00E67768"/>
    <w:rsid w:val="00E67835"/>
    <w:rsid w:val="00E67A5F"/>
    <w:rsid w:val="00E67AFE"/>
    <w:rsid w:val="00E67E93"/>
    <w:rsid w:val="00E70145"/>
    <w:rsid w:val="00E7067D"/>
    <w:rsid w:val="00E706E8"/>
    <w:rsid w:val="00E70F88"/>
    <w:rsid w:val="00E712CD"/>
    <w:rsid w:val="00E718EB"/>
    <w:rsid w:val="00E720E3"/>
    <w:rsid w:val="00E722E5"/>
    <w:rsid w:val="00E7230A"/>
    <w:rsid w:val="00E7245B"/>
    <w:rsid w:val="00E7258F"/>
    <w:rsid w:val="00E728C7"/>
    <w:rsid w:val="00E7314D"/>
    <w:rsid w:val="00E7323D"/>
    <w:rsid w:val="00E732B4"/>
    <w:rsid w:val="00E734CC"/>
    <w:rsid w:val="00E734DF"/>
    <w:rsid w:val="00E73CD2"/>
    <w:rsid w:val="00E73F2C"/>
    <w:rsid w:val="00E73F43"/>
    <w:rsid w:val="00E741E2"/>
    <w:rsid w:val="00E743BE"/>
    <w:rsid w:val="00E74519"/>
    <w:rsid w:val="00E7454F"/>
    <w:rsid w:val="00E75011"/>
    <w:rsid w:val="00E752ED"/>
    <w:rsid w:val="00E752F5"/>
    <w:rsid w:val="00E754AF"/>
    <w:rsid w:val="00E755A0"/>
    <w:rsid w:val="00E75740"/>
    <w:rsid w:val="00E75875"/>
    <w:rsid w:val="00E75B67"/>
    <w:rsid w:val="00E75C23"/>
    <w:rsid w:val="00E76063"/>
    <w:rsid w:val="00E76161"/>
    <w:rsid w:val="00E764AC"/>
    <w:rsid w:val="00E76675"/>
    <w:rsid w:val="00E76957"/>
    <w:rsid w:val="00E76961"/>
    <w:rsid w:val="00E7698A"/>
    <w:rsid w:val="00E769C5"/>
    <w:rsid w:val="00E76B92"/>
    <w:rsid w:val="00E76D2E"/>
    <w:rsid w:val="00E77154"/>
    <w:rsid w:val="00E77543"/>
    <w:rsid w:val="00E7755E"/>
    <w:rsid w:val="00E7791B"/>
    <w:rsid w:val="00E77DD0"/>
    <w:rsid w:val="00E8047C"/>
    <w:rsid w:val="00E8047D"/>
    <w:rsid w:val="00E8057A"/>
    <w:rsid w:val="00E80B0B"/>
    <w:rsid w:val="00E81093"/>
    <w:rsid w:val="00E816D7"/>
    <w:rsid w:val="00E81905"/>
    <w:rsid w:val="00E81B43"/>
    <w:rsid w:val="00E81FCB"/>
    <w:rsid w:val="00E821BA"/>
    <w:rsid w:val="00E8234F"/>
    <w:rsid w:val="00E8262F"/>
    <w:rsid w:val="00E829EE"/>
    <w:rsid w:val="00E82BE5"/>
    <w:rsid w:val="00E82D0C"/>
    <w:rsid w:val="00E82D84"/>
    <w:rsid w:val="00E82F39"/>
    <w:rsid w:val="00E83343"/>
    <w:rsid w:val="00E83BD0"/>
    <w:rsid w:val="00E83CE9"/>
    <w:rsid w:val="00E83F94"/>
    <w:rsid w:val="00E840A9"/>
    <w:rsid w:val="00E84182"/>
    <w:rsid w:val="00E841A6"/>
    <w:rsid w:val="00E84326"/>
    <w:rsid w:val="00E844CF"/>
    <w:rsid w:val="00E844FE"/>
    <w:rsid w:val="00E84883"/>
    <w:rsid w:val="00E84BB3"/>
    <w:rsid w:val="00E85000"/>
    <w:rsid w:val="00E85084"/>
    <w:rsid w:val="00E850FA"/>
    <w:rsid w:val="00E85341"/>
    <w:rsid w:val="00E85658"/>
    <w:rsid w:val="00E858B7"/>
    <w:rsid w:val="00E859E0"/>
    <w:rsid w:val="00E85E44"/>
    <w:rsid w:val="00E85E4D"/>
    <w:rsid w:val="00E85F05"/>
    <w:rsid w:val="00E85F98"/>
    <w:rsid w:val="00E8605D"/>
    <w:rsid w:val="00E86635"/>
    <w:rsid w:val="00E867CE"/>
    <w:rsid w:val="00E86B5A"/>
    <w:rsid w:val="00E86B60"/>
    <w:rsid w:val="00E86C58"/>
    <w:rsid w:val="00E8714B"/>
    <w:rsid w:val="00E8773D"/>
    <w:rsid w:val="00E8786B"/>
    <w:rsid w:val="00E87AE9"/>
    <w:rsid w:val="00E87C38"/>
    <w:rsid w:val="00E90258"/>
    <w:rsid w:val="00E90850"/>
    <w:rsid w:val="00E90906"/>
    <w:rsid w:val="00E90927"/>
    <w:rsid w:val="00E91714"/>
    <w:rsid w:val="00E919BC"/>
    <w:rsid w:val="00E91BF8"/>
    <w:rsid w:val="00E91C30"/>
    <w:rsid w:val="00E91FC9"/>
    <w:rsid w:val="00E9214F"/>
    <w:rsid w:val="00E92452"/>
    <w:rsid w:val="00E925F5"/>
    <w:rsid w:val="00E92661"/>
    <w:rsid w:val="00E92BFC"/>
    <w:rsid w:val="00E92C05"/>
    <w:rsid w:val="00E92DBD"/>
    <w:rsid w:val="00E92E38"/>
    <w:rsid w:val="00E933BE"/>
    <w:rsid w:val="00E9352E"/>
    <w:rsid w:val="00E936C2"/>
    <w:rsid w:val="00E936EA"/>
    <w:rsid w:val="00E93817"/>
    <w:rsid w:val="00E93833"/>
    <w:rsid w:val="00E93BA1"/>
    <w:rsid w:val="00E93C03"/>
    <w:rsid w:val="00E93E7E"/>
    <w:rsid w:val="00E93EF5"/>
    <w:rsid w:val="00E940E6"/>
    <w:rsid w:val="00E940FC"/>
    <w:rsid w:val="00E944A4"/>
    <w:rsid w:val="00E9460C"/>
    <w:rsid w:val="00E94758"/>
    <w:rsid w:val="00E9482E"/>
    <w:rsid w:val="00E948AD"/>
    <w:rsid w:val="00E94A55"/>
    <w:rsid w:val="00E94CB4"/>
    <w:rsid w:val="00E94EFA"/>
    <w:rsid w:val="00E95199"/>
    <w:rsid w:val="00E954D4"/>
    <w:rsid w:val="00E95579"/>
    <w:rsid w:val="00E958F2"/>
    <w:rsid w:val="00E959AD"/>
    <w:rsid w:val="00E95CA9"/>
    <w:rsid w:val="00E96205"/>
    <w:rsid w:val="00E967D9"/>
    <w:rsid w:val="00E96805"/>
    <w:rsid w:val="00E969A7"/>
    <w:rsid w:val="00E96AA5"/>
    <w:rsid w:val="00E96DA3"/>
    <w:rsid w:val="00E96E2D"/>
    <w:rsid w:val="00E96FB1"/>
    <w:rsid w:val="00E97601"/>
    <w:rsid w:val="00E9765A"/>
    <w:rsid w:val="00E97713"/>
    <w:rsid w:val="00E9784F"/>
    <w:rsid w:val="00E97B02"/>
    <w:rsid w:val="00E97D2E"/>
    <w:rsid w:val="00EA0235"/>
    <w:rsid w:val="00EA0398"/>
    <w:rsid w:val="00EA03C4"/>
    <w:rsid w:val="00EA04BD"/>
    <w:rsid w:val="00EA07E7"/>
    <w:rsid w:val="00EA0C30"/>
    <w:rsid w:val="00EA0DDB"/>
    <w:rsid w:val="00EA1154"/>
    <w:rsid w:val="00EA1401"/>
    <w:rsid w:val="00EA1405"/>
    <w:rsid w:val="00EA173A"/>
    <w:rsid w:val="00EA1956"/>
    <w:rsid w:val="00EA1A53"/>
    <w:rsid w:val="00EA1A6C"/>
    <w:rsid w:val="00EA1B33"/>
    <w:rsid w:val="00EA1B51"/>
    <w:rsid w:val="00EA1C36"/>
    <w:rsid w:val="00EA1FD1"/>
    <w:rsid w:val="00EA258F"/>
    <w:rsid w:val="00EA27B2"/>
    <w:rsid w:val="00EA2B0C"/>
    <w:rsid w:val="00EA2F1B"/>
    <w:rsid w:val="00EA32EA"/>
    <w:rsid w:val="00EA33AF"/>
    <w:rsid w:val="00EA37D4"/>
    <w:rsid w:val="00EA3AAA"/>
    <w:rsid w:val="00EA3B8C"/>
    <w:rsid w:val="00EA3C70"/>
    <w:rsid w:val="00EA3E6A"/>
    <w:rsid w:val="00EA478C"/>
    <w:rsid w:val="00EA48DA"/>
    <w:rsid w:val="00EA4931"/>
    <w:rsid w:val="00EA494A"/>
    <w:rsid w:val="00EA4A94"/>
    <w:rsid w:val="00EA5291"/>
    <w:rsid w:val="00EA52AA"/>
    <w:rsid w:val="00EA569E"/>
    <w:rsid w:val="00EA57DD"/>
    <w:rsid w:val="00EA5805"/>
    <w:rsid w:val="00EA59D9"/>
    <w:rsid w:val="00EA5DA1"/>
    <w:rsid w:val="00EA5FF6"/>
    <w:rsid w:val="00EA6479"/>
    <w:rsid w:val="00EA6640"/>
    <w:rsid w:val="00EA690B"/>
    <w:rsid w:val="00EA6EE7"/>
    <w:rsid w:val="00EA71D0"/>
    <w:rsid w:val="00EA7235"/>
    <w:rsid w:val="00EA766C"/>
    <w:rsid w:val="00EA7690"/>
    <w:rsid w:val="00EA7BF7"/>
    <w:rsid w:val="00EA7DD3"/>
    <w:rsid w:val="00EB02A6"/>
    <w:rsid w:val="00EB02E9"/>
    <w:rsid w:val="00EB036D"/>
    <w:rsid w:val="00EB07DA"/>
    <w:rsid w:val="00EB092D"/>
    <w:rsid w:val="00EB0B93"/>
    <w:rsid w:val="00EB0DC4"/>
    <w:rsid w:val="00EB0EA8"/>
    <w:rsid w:val="00EB0EF8"/>
    <w:rsid w:val="00EB1237"/>
    <w:rsid w:val="00EB132E"/>
    <w:rsid w:val="00EB160A"/>
    <w:rsid w:val="00EB165B"/>
    <w:rsid w:val="00EB17D4"/>
    <w:rsid w:val="00EB17DA"/>
    <w:rsid w:val="00EB18AB"/>
    <w:rsid w:val="00EB1BC6"/>
    <w:rsid w:val="00EB1C8D"/>
    <w:rsid w:val="00EB1CC6"/>
    <w:rsid w:val="00EB1D53"/>
    <w:rsid w:val="00EB1EF5"/>
    <w:rsid w:val="00EB2474"/>
    <w:rsid w:val="00EB2691"/>
    <w:rsid w:val="00EB286A"/>
    <w:rsid w:val="00EB2B1D"/>
    <w:rsid w:val="00EB2CA4"/>
    <w:rsid w:val="00EB2D45"/>
    <w:rsid w:val="00EB346D"/>
    <w:rsid w:val="00EB37E2"/>
    <w:rsid w:val="00EB396D"/>
    <w:rsid w:val="00EB3BFA"/>
    <w:rsid w:val="00EB3D1F"/>
    <w:rsid w:val="00EB3DB5"/>
    <w:rsid w:val="00EB4356"/>
    <w:rsid w:val="00EB4732"/>
    <w:rsid w:val="00EB5081"/>
    <w:rsid w:val="00EB50C6"/>
    <w:rsid w:val="00EB50F2"/>
    <w:rsid w:val="00EB5284"/>
    <w:rsid w:val="00EB53A3"/>
    <w:rsid w:val="00EB5677"/>
    <w:rsid w:val="00EB5804"/>
    <w:rsid w:val="00EB62A1"/>
    <w:rsid w:val="00EB62FC"/>
    <w:rsid w:val="00EB635B"/>
    <w:rsid w:val="00EB64EF"/>
    <w:rsid w:val="00EB66BE"/>
    <w:rsid w:val="00EB682A"/>
    <w:rsid w:val="00EB6838"/>
    <w:rsid w:val="00EB696A"/>
    <w:rsid w:val="00EB6C7B"/>
    <w:rsid w:val="00EB6DE4"/>
    <w:rsid w:val="00EB70BC"/>
    <w:rsid w:val="00EB712F"/>
    <w:rsid w:val="00EB71C5"/>
    <w:rsid w:val="00EB71E8"/>
    <w:rsid w:val="00EB71F2"/>
    <w:rsid w:val="00EB77AF"/>
    <w:rsid w:val="00EB7999"/>
    <w:rsid w:val="00EB7ADB"/>
    <w:rsid w:val="00EB7B04"/>
    <w:rsid w:val="00EC02E5"/>
    <w:rsid w:val="00EC069F"/>
    <w:rsid w:val="00EC0CF8"/>
    <w:rsid w:val="00EC0DD6"/>
    <w:rsid w:val="00EC116A"/>
    <w:rsid w:val="00EC11F3"/>
    <w:rsid w:val="00EC1358"/>
    <w:rsid w:val="00EC13AB"/>
    <w:rsid w:val="00EC13F4"/>
    <w:rsid w:val="00EC1536"/>
    <w:rsid w:val="00EC170A"/>
    <w:rsid w:val="00EC1909"/>
    <w:rsid w:val="00EC1A42"/>
    <w:rsid w:val="00EC1AF2"/>
    <w:rsid w:val="00EC1C68"/>
    <w:rsid w:val="00EC1FC0"/>
    <w:rsid w:val="00EC20A7"/>
    <w:rsid w:val="00EC21A2"/>
    <w:rsid w:val="00EC2229"/>
    <w:rsid w:val="00EC22CA"/>
    <w:rsid w:val="00EC244E"/>
    <w:rsid w:val="00EC260C"/>
    <w:rsid w:val="00EC2986"/>
    <w:rsid w:val="00EC2C6E"/>
    <w:rsid w:val="00EC2D70"/>
    <w:rsid w:val="00EC32C1"/>
    <w:rsid w:val="00EC331E"/>
    <w:rsid w:val="00EC35B9"/>
    <w:rsid w:val="00EC36E9"/>
    <w:rsid w:val="00EC3CEC"/>
    <w:rsid w:val="00EC41F3"/>
    <w:rsid w:val="00EC4202"/>
    <w:rsid w:val="00EC439A"/>
    <w:rsid w:val="00EC4951"/>
    <w:rsid w:val="00EC4D19"/>
    <w:rsid w:val="00EC4D33"/>
    <w:rsid w:val="00EC4E5E"/>
    <w:rsid w:val="00EC5206"/>
    <w:rsid w:val="00EC539D"/>
    <w:rsid w:val="00EC5B60"/>
    <w:rsid w:val="00EC601A"/>
    <w:rsid w:val="00EC60E0"/>
    <w:rsid w:val="00EC6ECD"/>
    <w:rsid w:val="00EC70B2"/>
    <w:rsid w:val="00EC7847"/>
    <w:rsid w:val="00EC785A"/>
    <w:rsid w:val="00EC7914"/>
    <w:rsid w:val="00EC7E54"/>
    <w:rsid w:val="00EC7F9D"/>
    <w:rsid w:val="00ED01AC"/>
    <w:rsid w:val="00ED02D2"/>
    <w:rsid w:val="00ED07D6"/>
    <w:rsid w:val="00ED0825"/>
    <w:rsid w:val="00ED0858"/>
    <w:rsid w:val="00ED09CA"/>
    <w:rsid w:val="00ED129E"/>
    <w:rsid w:val="00ED1F43"/>
    <w:rsid w:val="00ED203C"/>
    <w:rsid w:val="00ED23E0"/>
    <w:rsid w:val="00ED241F"/>
    <w:rsid w:val="00ED2825"/>
    <w:rsid w:val="00ED2D3D"/>
    <w:rsid w:val="00ED30C3"/>
    <w:rsid w:val="00ED33DA"/>
    <w:rsid w:val="00ED3442"/>
    <w:rsid w:val="00ED3532"/>
    <w:rsid w:val="00ED37B6"/>
    <w:rsid w:val="00ED38D4"/>
    <w:rsid w:val="00ED396B"/>
    <w:rsid w:val="00ED3A4D"/>
    <w:rsid w:val="00ED3B26"/>
    <w:rsid w:val="00ED3D35"/>
    <w:rsid w:val="00ED3D5E"/>
    <w:rsid w:val="00ED43A2"/>
    <w:rsid w:val="00ED4B06"/>
    <w:rsid w:val="00ED4CA0"/>
    <w:rsid w:val="00ED5173"/>
    <w:rsid w:val="00ED51E8"/>
    <w:rsid w:val="00ED543F"/>
    <w:rsid w:val="00ED556B"/>
    <w:rsid w:val="00ED55AA"/>
    <w:rsid w:val="00ED5A52"/>
    <w:rsid w:val="00ED5AFD"/>
    <w:rsid w:val="00ED5E04"/>
    <w:rsid w:val="00ED5E24"/>
    <w:rsid w:val="00ED6022"/>
    <w:rsid w:val="00ED61D9"/>
    <w:rsid w:val="00ED6405"/>
    <w:rsid w:val="00ED6788"/>
    <w:rsid w:val="00ED67BC"/>
    <w:rsid w:val="00ED6997"/>
    <w:rsid w:val="00ED6D2C"/>
    <w:rsid w:val="00ED70CE"/>
    <w:rsid w:val="00ED7227"/>
    <w:rsid w:val="00ED7316"/>
    <w:rsid w:val="00ED731A"/>
    <w:rsid w:val="00ED75E6"/>
    <w:rsid w:val="00ED765F"/>
    <w:rsid w:val="00ED78B6"/>
    <w:rsid w:val="00EE045F"/>
    <w:rsid w:val="00EE04BD"/>
    <w:rsid w:val="00EE0611"/>
    <w:rsid w:val="00EE061A"/>
    <w:rsid w:val="00EE069D"/>
    <w:rsid w:val="00EE0765"/>
    <w:rsid w:val="00EE0905"/>
    <w:rsid w:val="00EE11C9"/>
    <w:rsid w:val="00EE122E"/>
    <w:rsid w:val="00EE1720"/>
    <w:rsid w:val="00EE176E"/>
    <w:rsid w:val="00EE1860"/>
    <w:rsid w:val="00EE1C19"/>
    <w:rsid w:val="00EE1C33"/>
    <w:rsid w:val="00EE1F1F"/>
    <w:rsid w:val="00EE219C"/>
    <w:rsid w:val="00EE253B"/>
    <w:rsid w:val="00EE266D"/>
    <w:rsid w:val="00EE2AE5"/>
    <w:rsid w:val="00EE3110"/>
    <w:rsid w:val="00EE31AA"/>
    <w:rsid w:val="00EE3269"/>
    <w:rsid w:val="00EE3559"/>
    <w:rsid w:val="00EE366B"/>
    <w:rsid w:val="00EE385E"/>
    <w:rsid w:val="00EE3B50"/>
    <w:rsid w:val="00EE4303"/>
    <w:rsid w:val="00EE460C"/>
    <w:rsid w:val="00EE47F4"/>
    <w:rsid w:val="00EE4ABB"/>
    <w:rsid w:val="00EE4EE7"/>
    <w:rsid w:val="00EE4F12"/>
    <w:rsid w:val="00EE522C"/>
    <w:rsid w:val="00EE53D9"/>
    <w:rsid w:val="00EE56CA"/>
    <w:rsid w:val="00EE57E0"/>
    <w:rsid w:val="00EE59D1"/>
    <w:rsid w:val="00EE5B96"/>
    <w:rsid w:val="00EE5E02"/>
    <w:rsid w:val="00EE5E3B"/>
    <w:rsid w:val="00EE62B6"/>
    <w:rsid w:val="00EE66FE"/>
    <w:rsid w:val="00EE67E8"/>
    <w:rsid w:val="00EE6A11"/>
    <w:rsid w:val="00EE6B7D"/>
    <w:rsid w:val="00EE6F7F"/>
    <w:rsid w:val="00EE6F81"/>
    <w:rsid w:val="00EE6F90"/>
    <w:rsid w:val="00EE7097"/>
    <w:rsid w:val="00EE73C1"/>
    <w:rsid w:val="00EE7701"/>
    <w:rsid w:val="00EE7959"/>
    <w:rsid w:val="00EE7B71"/>
    <w:rsid w:val="00EE7BB9"/>
    <w:rsid w:val="00EE7C2A"/>
    <w:rsid w:val="00EF01F2"/>
    <w:rsid w:val="00EF0711"/>
    <w:rsid w:val="00EF0B4B"/>
    <w:rsid w:val="00EF0D60"/>
    <w:rsid w:val="00EF119D"/>
    <w:rsid w:val="00EF1561"/>
    <w:rsid w:val="00EF1723"/>
    <w:rsid w:val="00EF1772"/>
    <w:rsid w:val="00EF1973"/>
    <w:rsid w:val="00EF1A0D"/>
    <w:rsid w:val="00EF1B02"/>
    <w:rsid w:val="00EF1D52"/>
    <w:rsid w:val="00EF1FD8"/>
    <w:rsid w:val="00EF20BF"/>
    <w:rsid w:val="00EF22B8"/>
    <w:rsid w:val="00EF268E"/>
    <w:rsid w:val="00EF27C5"/>
    <w:rsid w:val="00EF2853"/>
    <w:rsid w:val="00EF2FA1"/>
    <w:rsid w:val="00EF3145"/>
    <w:rsid w:val="00EF319D"/>
    <w:rsid w:val="00EF3347"/>
    <w:rsid w:val="00EF3377"/>
    <w:rsid w:val="00EF37D0"/>
    <w:rsid w:val="00EF387B"/>
    <w:rsid w:val="00EF39E6"/>
    <w:rsid w:val="00EF3CCA"/>
    <w:rsid w:val="00EF3F55"/>
    <w:rsid w:val="00EF433E"/>
    <w:rsid w:val="00EF442D"/>
    <w:rsid w:val="00EF45F5"/>
    <w:rsid w:val="00EF4C6C"/>
    <w:rsid w:val="00EF4DA0"/>
    <w:rsid w:val="00EF4DF4"/>
    <w:rsid w:val="00EF4EC4"/>
    <w:rsid w:val="00EF5037"/>
    <w:rsid w:val="00EF5051"/>
    <w:rsid w:val="00EF531C"/>
    <w:rsid w:val="00EF561A"/>
    <w:rsid w:val="00EF57BE"/>
    <w:rsid w:val="00EF5936"/>
    <w:rsid w:val="00EF5BBB"/>
    <w:rsid w:val="00EF5DEA"/>
    <w:rsid w:val="00EF5FAC"/>
    <w:rsid w:val="00EF6448"/>
    <w:rsid w:val="00EF6502"/>
    <w:rsid w:val="00EF6550"/>
    <w:rsid w:val="00EF6C34"/>
    <w:rsid w:val="00EF6CAF"/>
    <w:rsid w:val="00EF6DAD"/>
    <w:rsid w:val="00EF6ED3"/>
    <w:rsid w:val="00EF6F87"/>
    <w:rsid w:val="00EF7974"/>
    <w:rsid w:val="00EF7ABA"/>
    <w:rsid w:val="00EF7D0E"/>
    <w:rsid w:val="00EF7DEC"/>
    <w:rsid w:val="00EF7F14"/>
    <w:rsid w:val="00F00508"/>
    <w:rsid w:val="00F008ED"/>
    <w:rsid w:val="00F00CE4"/>
    <w:rsid w:val="00F01185"/>
    <w:rsid w:val="00F01288"/>
    <w:rsid w:val="00F012C2"/>
    <w:rsid w:val="00F0172B"/>
    <w:rsid w:val="00F017DB"/>
    <w:rsid w:val="00F017F0"/>
    <w:rsid w:val="00F01944"/>
    <w:rsid w:val="00F01B80"/>
    <w:rsid w:val="00F01BFA"/>
    <w:rsid w:val="00F01F8F"/>
    <w:rsid w:val="00F021DF"/>
    <w:rsid w:val="00F02A71"/>
    <w:rsid w:val="00F02AE2"/>
    <w:rsid w:val="00F02F73"/>
    <w:rsid w:val="00F03005"/>
    <w:rsid w:val="00F03497"/>
    <w:rsid w:val="00F039E2"/>
    <w:rsid w:val="00F0406F"/>
    <w:rsid w:val="00F040D1"/>
    <w:rsid w:val="00F04300"/>
    <w:rsid w:val="00F04555"/>
    <w:rsid w:val="00F045B6"/>
    <w:rsid w:val="00F045DF"/>
    <w:rsid w:val="00F04F12"/>
    <w:rsid w:val="00F04F24"/>
    <w:rsid w:val="00F050AE"/>
    <w:rsid w:val="00F05222"/>
    <w:rsid w:val="00F0546A"/>
    <w:rsid w:val="00F056E7"/>
    <w:rsid w:val="00F05B9C"/>
    <w:rsid w:val="00F05CDC"/>
    <w:rsid w:val="00F05E51"/>
    <w:rsid w:val="00F05E7C"/>
    <w:rsid w:val="00F05FCA"/>
    <w:rsid w:val="00F06160"/>
    <w:rsid w:val="00F06286"/>
    <w:rsid w:val="00F06382"/>
    <w:rsid w:val="00F065AD"/>
    <w:rsid w:val="00F0684E"/>
    <w:rsid w:val="00F06D50"/>
    <w:rsid w:val="00F07028"/>
    <w:rsid w:val="00F0727A"/>
    <w:rsid w:val="00F07422"/>
    <w:rsid w:val="00F075D4"/>
    <w:rsid w:val="00F075E2"/>
    <w:rsid w:val="00F07604"/>
    <w:rsid w:val="00F076D0"/>
    <w:rsid w:val="00F079F4"/>
    <w:rsid w:val="00F07B92"/>
    <w:rsid w:val="00F07BD0"/>
    <w:rsid w:val="00F07BEE"/>
    <w:rsid w:val="00F10055"/>
    <w:rsid w:val="00F1007B"/>
    <w:rsid w:val="00F10308"/>
    <w:rsid w:val="00F1032F"/>
    <w:rsid w:val="00F10965"/>
    <w:rsid w:val="00F10A19"/>
    <w:rsid w:val="00F11074"/>
    <w:rsid w:val="00F112A1"/>
    <w:rsid w:val="00F1140D"/>
    <w:rsid w:val="00F11600"/>
    <w:rsid w:val="00F12491"/>
    <w:rsid w:val="00F124AC"/>
    <w:rsid w:val="00F12BD3"/>
    <w:rsid w:val="00F12C05"/>
    <w:rsid w:val="00F12ECF"/>
    <w:rsid w:val="00F12EEA"/>
    <w:rsid w:val="00F12F79"/>
    <w:rsid w:val="00F134D9"/>
    <w:rsid w:val="00F137AC"/>
    <w:rsid w:val="00F13847"/>
    <w:rsid w:val="00F13CB7"/>
    <w:rsid w:val="00F13D05"/>
    <w:rsid w:val="00F13DFE"/>
    <w:rsid w:val="00F14000"/>
    <w:rsid w:val="00F14143"/>
    <w:rsid w:val="00F1468B"/>
    <w:rsid w:val="00F14694"/>
    <w:rsid w:val="00F1486D"/>
    <w:rsid w:val="00F14B1A"/>
    <w:rsid w:val="00F14D86"/>
    <w:rsid w:val="00F14EB8"/>
    <w:rsid w:val="00F14F1F"/>
    <w:rsid w:val="00F15177"/>
    <w:rsid w:val="00F15299"/>
    <w:rsid w:val="00F153F8"/>
    <w:rsid w:val="00F15A42"/>
    <w:rsid w:val="00F15F72"/>
    <w:rsid w:val="00F1615D"/>
    <w:rsid w:val="00F16231"/>
    <w:rsid w:val="00F1671A"/>
    <w:rsid w:val="00F16BE5"/>
    <w:rsid w:val="00F16C77"/>
    <w:rsid w:val="00F16D43"/>
    <w:rsid w:val="00F16D94"/>
    <w:rsid w:val="00F16E7C"/>
    <w:rsid w:val="00F16EF1"/>
    <w:rsid w:val="00F172C6"/>
    <w:rsid w:val="00F177F0"/>
    <w:rsid w:val="00F17918"/>
    <w:rsid w:val="00F179A2"/>
    <w:rsid w:val="00F17F33"/>
    <w:rsid w:val="00F2003E"/>
    <w:rsid w:val="00F200C9"/>
    <w:rsid w:val="00F2058F"/>
    <w:rsid w:val="00F205ED"/>
    <w:rsid w:val="00F20686"/>
    <w:rsid w:val="00F2074C"/>
    <w:rsid w:val="00F20C37"/>
    <w:rsid w:val="00F20DE5"/>
    <w:rsid w:val="00F21092"/>
    <w:rsid w:val="00F214DA"/>
    <w:rsid w:val="00F214F4"/>
    <w:rsid w:val="00F21761"/>
    <w:rsid w:val="00F21A70"/>
    <w:rsid w:val="00F21B89"/>
    <w:rsid w:val="00F22066"/>
    <w:rsid w:val="00F2250C"/>
    <w:rsid w:val="00F22810"/>
    <w:rsid w:val="00F22819"/>
    <w:rsid w:val="00F2283E"/>
    <w:rsid w:val="00F229CF"/>
    <w:rsid w:val="00F2306D"/>
    <w:rsid w:val="00F231D1"/>
    <w:rsid w:val="00F2331B"/>
    <w:rsid w:val="00F23328"/>
    <w:rsid w:val="00F2370D"/>
    <w:rsid w:val="00F238D5"/>
    <w:rsid w:val="00F23A08"/>
    <w:rsid w:val="00F23D5C"/>
    <w:rsid w:val="00F23DF0"/>
    <w:rsid w:val="00F241B0"/>
    <w:rsid w:val="00F24389"/>
    <w:rsid w:val="00F244BA"/>
    <w:rsid w:val="00F2462E"/>
    <w:rsid w:val="00F24ACA"/>
    <w:rsid w:val="00F24D06"/>
    <w:rsid w:val="00F2521E"/>
    <w:rsid w:val="00F252AC"/>
    <w:rsid w:val="00F253BC"/>
    <w:rsid w:val="00F25486"/>
    <w:rsid w:val="00F25675"/>
    <w:rsid w:val="00F25782"/>
    <w:rsid w:val="00F258EE"/>
    <w:rsid w:val="00F25DBD"/>
    <w:rsid w:val="00F2614B"/>
    <w:rsid w:val="00F2631B"/>
    <w:rsid w:val="00F2662B"/>
    <w:rsid w:val="00F26A74"/>
    <w:rsid w:val="00F26AE5"/>
    <w:rsid w:val="00F26C4F"/>
    <w:rsid w:val="00F27232"/>
    <w:rsid w:val="00F2779F"/>
    <w:rsid w:val="00F27BA5"/>
    <w:rsid w:val="00F300DB"/>
    <w:rsid w:val="00F30489"/>
    <w:rsid w:val="00F3068C"/>
    <w:rsid w:val="00F30908"/>
    <w:rsid w:val="00F30A11"/>
    <w:rsid w:val="00F30ABF"/>
    <w:rsid w:val="00F30D81"/>
    <w:rsid w:val="00F30FA4"/>
    <w:rsid w:val="00F31034"/>
    <w:rsid w:val="00F31134"/>
    <w:rsid w:val="00F31416"/>
    <w:rsid w:val="00F315A7"/>
    <w:rsid w:val="00F315E5"/>
    <w:rsid w:val="00F31689"/>
    <w:rsid w:val="00F319C6"/>
    <w:rsid w:val="00F31C7C"/>
    <w:rsid w:val="00F31F2F"/>
    <w:rsid w:val="00F3201C"/>
    <w:rsid w:val="00F32718"/>
    <w:rsid w:val="00F327F7"/>
    <w:rsid w:val="00F329E2"/>
    <w:rsid w:val="00F32A62"/>
    <w:rsid w:val="00F32B63"/>
    <w:rsid w:val="00F32CC0"/>
    <w:rsid w:val="00F32FE9"/>
    <w:rsid w:val="00F33009"/>
    <w:rsid w:val="00F3314B"/>
    <w:rsid w:val="00F33279"/>
    <w:rsid w:val="00F333BD"/>
    <w:rsid w:val="00F33735"/>
    <w:rsid w:val="00F3395D"/>
    <w:rsid w:val="00F33D1E"/>
    <w:rsid w:val="00F3403F"/>
    <w:rsid w:val="00F34285"/>
    <w:rsid w:val="00F34366"/>
    <w:rsid w:val="00F34418"/>
    <w:rsid w:val="00F344E7"/>
    <w:rsid w:val="00F346B5"/>
    <w:rsid w:val="00F3478B"/>
    <w:rsid w:val="00F34AD0"/>
    <w:rsid w:val="00F34F5E"/>
    <w:rsid w:val="00F34F94"/>
    <w:rsid w:val="00F350B1"/>
    <w:rsid w:val="00F3521E"/>
    <w:rsid w:val="00F353E9"/>
    <w:rsid w:val="00F3555F"/>
    <w:rsid w:val="00F356D0"/>
    <w:rsid w:val="00F356E3"/>
    <w:rsid w:val="00F3595D"/>
    <w:rsid w:val="00F3597A"/>
    <w:rsid w:val="00F35A20"/>
    <w:rsid w:val="00F35E88"/>
    <w:rsid w:val="00F362AC"/>
    <w:rsid w:val="00F368FE"/>
    <w:rsid w:val="00F36CDF"/>
    <w:rsid w:val="00F36ECB"/>
    <w:rsid w:val="00F36F8C"/>
    <w:rsid w:val="00F372AD"/>
    <w:rsid w:val="00F372D5"/>
    <w:rsid w:val="00F37398"/>
    <w:rsid w:val="00F376C7"/>
    <w:rsid w:val="00F379E2"/>
    <w:rsid w:val="00F37B5E"/>
    <w:rsid w:val="00F37C80"/>
    <w:rsid w:val="00F37CD1"/>
    <w:rsid w:val="00F37EA0"/>
    <w:rsid w:val="00F37EF4"/>
    <w:rsid w:val="00F400AD"/>
    <w:rsid w:val="00F400C1"/>
    <w:rsid w:val="00F4023C"/>
    <w:rsid w:val="00F40BDE"/>
    <w:rsid w:val="00F40CEC"/>
    <w:rsid w:val="00F40DD0"/>
    <w:rsid w:val="00F412AC"/>
    <w:rsid w:val="00F41424"/>
    <w:rsid w:val="00F41447"/>
    <w:rsid w:val="00F41459"/>
    <w:rsid w:val="00F4163C"/>
    <w:rsid w:val="00F41A9D"/>
    <w:rsid w:val="00F420D7"/>
    <w:rsid w:val="00F4232A"/>
    <w:rsid w:val="00F424EC"/>
    <w:rsid w:val="00F42540"/>
    <w:rsid w:val="00F426D7"/>
    <w:rsid w:val="00F42922"/>
    <w:rsid w:val="00F429A8"/>
    <w:rsid w:val="00F42AD7"/>
    <w:rsid w:val="00F42E0B"/>
    <w:rsid w:val="00F42E23"/>
    <w:rsid w:val="00F42E8D"/>
    <w:rsid w:val="00F43131"/>
    <w:rsid w:val="00F43392"/>
    <w:rsid w:val="00F43879"/>
    <w:rsid w:val="00F43904"/>
    <w:rsid w:val="00F43A4A"/>
    <w:rsid w:val="00F43AFD"/>
    <w:rsid w:val="00F43B77"/>
    <w:rsid w:val="00F43B97"/>
    <w:rsid w:val="00F43C52"/>
    <w:rsid w:val="00F43EB4"/>
    <w:rsid w:val="00F441F0"/>
    <w:rsid w:val="00F445F4"/>
    <w:rsid w:val="00F4465A"/>
    <w:rsid w:val="00F44B59"/>
    <w:rsid w:val="00F4540E"/>
    <w:rsid w:val="00F454A9"/>
    <w:rsid w:val="00F45563"/>
    <w:rsid w:val="00F4561E"/>
    <w:rsid w:val="00F45639"/>
    <w:rsid w:val="00F457E3"/>
    <w:rsid w:val="00F45B0A"/>
    <w:rsid w:val="00F45B1B"/>
    <w:rsid w:val="00F45B92"/>
    <w:rsid w:val="00F45EF7"/>
    <w:rsid w:val="00F46150"/>
    <w:rsid w:val="00F46592"/>
    <w:rsid w:val="00F466A2"/>
    <w:rsid w:val="00F46AD1"/>
    <w:rsid w:val="00F46C83"/>
    <w:rsid w:val="00F4734E"/>
    <w:rsid w:val="00F473FD"/>
    <w:rsid w:val="00F475F2"/>
    <w:rsid w:val="00F478A6"/>
    <w:rsid w:val="00F47F40"/>
    <w:rsid w:val="00F50041"/>
    <w:rsid w:val="00F50730"/>
    <w:rsid w:val="00F507C7"/>
    <w:rsid w:val="00F5084C"/>
    <w:rsid w:val="00F50ABF"/>
    <w:rsid w:val="00F50C1F"/>
    <w:rsid w:val="00F50DF1"/>
    <w:rsid w:val="00F511C6"/>
    <w:rsid w:val="00F511DB"/>
    <w:rsid w:val="00F51373"/>
    <w:rsid w:val="00F513AD"/>
    <w:rsid w:val="00F514B4"/>
    <w:rsid w:val="00F515D6"/>
    <w:rsid w:val="00F51B54"/>
    <w:rsid w:val="00F51E86"/>
    <w:rsid w:val="00F52374"/>
    <w:rsid w:val="00F523DD"/>
    <w:rsid w:val="00F52AA1"/>
    <w:rsid w:val="00F52D02"/>
    <w:rsid w:val="00F52D87"/>
    <w:rsid w:val="00F52EA7"/>
    <w:rsid w:val="00F52F71"/>
    <w:rsid w:val="00F5302B"/>
    <w:rsid w:val="00F53089"/>
    <w:rsid w:val="00F53364"/>
    <w:rsid w:val="00F5338B"/>
    <w:rsid w:val="00F5378D"/>
    <w:rsid w:val="00F54304"/>
    <w:rsid w:val="00F544C8"/>
    <w:rsid w:val="00F544FA"/>
    <w:rsid w:val="00F54716"/>
    <w:rsid w:val="00F549B8"/>
    <w:rsid w:val="00F549FB"/>
    <w:rsid w:val="00F54E74"/>
    <w:rsid w:val="00F54F3F"/>
    <w:rsid w:val="00F54FB3"/>
    <w:rsid w:val="00F55026"/>
    <w:rsid w:val="00F5510A"/>
    <w:rsid w:val="00F551FB"/>
    <w:rsid w:val="00F55323"/>
    <w:rsid w:val="00F55403"/>
    <w:rsid w:val="00F5587E"/>
    <w:rsid w:val="00F55E43"/>
    <w:rsid w:val="00F56060"/>
    <w:rsid w:val="00F56343"/>
    <w:rsid w:val="00F5642A"/>
    <w:rsid w:val="00F566A7"/>
    <w:rsid w:val="00F568F2"/>
    <w:rsid w:val="00F56A48"/>
    <w:rsid w:val="00F56D4A"/>
    <w:rsid w:val="00F57537"/>
    <w:rsid w:val="00F57751"/>
    <w:rsid w:val="00F57856"/>
    <w:rsid w:val="00F57CCC"/>
    <w:rsid w:val="00F57EB2"/>
    <w:rsid w:val="00F57EF5"/>
    <w:rsid w:val="00F6009A"/>
    <w:rsid w:val="00F601BC"/>
    <w:rsid w:val="00F602C7"/>
    <w:rsid w:val="00F60699"/>
    <w:rsid w:val="00F60744"/>
    <w:rsid w:val="00F607D7"/>
    <w:rsid w:val="00F60AD4"/>
    <w:rsid w:val="00F60C4C"/>
    <w:rsid w:val="00F60DAE"/>
    <w:rsid w:val="00F6111E"/>
    <w:rsid w:val="00F61160"/>
    <w:rsid w:val="00F614C7"/>
    <w:rsid w:val="00F618FA"/>
    <w:rsid w:val="00F619E9"/>
    <w:rsid w:val="00F61D28"/>
    <w:rsid w:val="00F61E42"/>
    <w:rsid w:val="00F61F78"/>
    <w:rsid w:val="00F62041"/>
    <w:rsid w:val="00F622A4"/>
    <w:rsid w:val="00F622A5"/>
    <w:rsid w:val="00F62660"/>
    <w:rsid w:val="00F62FD3"/>
    <w:rsid w:val="00F63286"/>
    <w:rsid w:val="00F63438"/>
    <w:rsid w:val="00F635AD"/>
    <w:rsid w:val="00F63CD4"/>
    <w:rsid w:val="00F63D3C"/>
    <w:rsid w:val="00F64000"/>
    <w:rsid w:val="00F642FE"/>
    <w:rsid w:val="00F646D1"/>
    <w:rsid w:val="00F64782"/>
    <w:rsid w:val="00F64ADB"/>
    <w:rsid w:val="00F64F24"/>
    <w:rsid w:val="00F64FEE"/>
    <w:rsid w:val="00F65120"/>
    <w:rsid w:val="00F65401"/>
    <w:rsid w:val="00F65519"/>
    <w:rsid w:val="00F65582"/>
    <w:rsid w:val="00F65676"/>
    <w:rsid w:val="00F656C3"/>
    <w:rsid w:val="00F65721"/>
    <w:rsid w:val="00F65D46"/>
    <w:rsid w:val="00F65E50"/>
    <w:rsid w:val="00F65EE7"/>
    <w:rsid w:val="00F65F13"/>
    <w:rsid w:val="00F65F65"/>
    <w:rsid w:val="00F65F7D"/>
    <w:rsid w:val="00F660A9"/>
    <w:rsid w:val="00F662E5"/>
    <w:rsid w:val="00F67002"/>
    <w:rsid w:val="00F67036"/>
    <w:rsid w:val="00F672F2"/>
    <w:rsid w:val="00F67545"/>
    <w:rsid w:val="00F676DC"/>
    <w:rsid w:val="00F677EA"/>
    <w:rsid w:val="00F678BF"/>
    <w:rsid w:val="00F67C32"/>
    <w:rsid w:val="00F67C38"/>
    <w:rsid w:val="00F704BB"/>
    <w:rsid w:val="00F70696"/>
    <w:rsid w:val="00F70713"/>
    <w:rsid w:val="00F708D3"/>
    <w:rsid w:val="00F708F7"/>
    <w:rsid w:val="00F70B44"/>
    <w:rsid w:val="00F7109F"/>
    <w:rsid w:val="00F71664"/>
    <w:rsid w:val="00F71DAF"/>
    <w:rsid w:val="00F71DD8"/>
    <w:rsid w:val="00F7218B"/>
    <w:rsid w:val="00F724C2"/>
    <w:rsid w:val="00F725B8"/>
    <w:rsid w:val="00F725E5"/>
    <w:rsid w:val="00F728CC"/>
    <w:rsid w:val="00F72978"/>
    <w:rsid w:val="00F72E57"/>
    <w:rsid w:val="00F72F38"/>
    <w:rsid w:val="00F7385E"/>
    <w:rsid w:val="00F73D0C"/>
    <w:rsid w:val="00F74020"/>
    <w:rsid w:val="00F74144"/>
    <w:rsid w:val="00F743BB"/>
    <w:rsid w:val="00F74723"/>
    <w:rsid w:val="00F74883"/>
    <w:rsid w:val="00F748A2"/>
    <w:rsid w:val="00F74993"/>
    <w:rsid w:val="00F74F97"/>
    <w:rsid w:val="00F750FC"/>
    <w:rsid w:val="00F75251"/>
    <w:rsid w:val="00F752E6"/>
    <w:rsid w:val="00F753E2"/>
    <w:rsid w:val="00F7552F"/>
    <w:rsid w:val="00F75B45"/>
    <w:rsid w:val="00F75DA9"/>
    <w:rsid w:val="00F761D4"/>
    <w:rsid w:val="00F76773"/>
    <w:rsid w:val="00F76900"/>
    <w:rsid w:val="00F76C30"/>
    <w:rsid w:val="00F76C37"/>
    <w:rsid w:val="00F770FE"/>
    <w:rsid w:val="00F772CE"/>
    <w:rsid w:val="00F7763A"/>
    <w:rsid w:val="00F77791"/>
    <w:rsid w:val="00F77BC1"/>
    <w:rsid w:val="00F77C19"/>
    <w:rsid w:val="00F77ED9"/>
    <w:rsid w:val="00F77FA5"/>
    <w:rsid w:val="00F80014"/>
    <w:rsid w:val="00F80196"/>
    <w:rsid w:val="00F80417"/>
    <w:rsid w:val="00F80642"/>
    <w:rsid w:val="00F8066A"/>
    <w:rsid w:val="00F80A7C"/>
    <w:rsid w:val="00F80A9B"/>
    <w:rsid w:val="00F80B5C"/>
    <w:rsid w:val="00F80B65"/>
    <w:rsid w:val="00F80F0D"/>
    <w:rsid w:val="00F81071"/>
    <w:rsid w:val="00F81243"/>
    <w:rsid w:val="00F8190A"/>
    <w:rsid w:val="00F81C3D"/>
    <w:rsid w:val="00F8200F"/>
    <w:rsid w:val="00F823E9"/>
    <w:rsid w:val="00F8243B"/>
    <w:rsid w:val="00F82E52"/>
    <w:rsid w:val="00F831CE"/>
    <w:rsid w:val="00F83296"/>
    <w:rsid w:val="00F8341A"/>
    <w:rsid w:val="00F83563"/>
    <w:rsid w:val="00F835DA"/>
    <w:rsid w:val="00F83AD7"/>
    <w:rsid w:val="00F83F5C"/>
    <w:rsid w:val="00F8453E"/>
    <w:rsid w:val="00F845F6"/>
    <w:rsid w:val="00F8467B"/>
    <w:rsid w:val="00F8474A"/>
    <w:rsid w:val="00F8475B"/>
    <w:rsid w:val="00F847B1"/>
    <w:rsid w:val="00F852F0"/>
    <w:rsid w:val="00F854BF"/>
    <w:rsid w:val="00F85667"/>
    <w:rsid w:val="00F856B4"/>
    <w:rsid w:val="00F8573B"/>
    <w:rsid w:val="00F85838"/>
    <w:rsid w:val="00F85AA7"/>
    <w:rsid w:val="00F85FD0"/>
    <w:rsid w:val="00F866E8"/>
    <w:rsid w:val="00F866F1"/>
    <w:rsid w:val="00F867DF"/>
    <w:rsid w:val="00F868A5"/>
    <w:rsid w:val="00F8693A"/>
    <w:rsid w:val="00F86B65"/>
    <w:rsid w:val="00F86F43"/>
    <w:rsid w:val="00F871E0"/>
    <w:rsid w:val="00F87265"/>
    <w:rsid w:val="00F8737A"/>
    <w:rsid w:val="00F875F0"/>
    <w:rsid w:val="00F8798B"/>
    <w:rsid w:val="00F87D76"/>
    <w:rsid w:val="00F87FB4"/>
    <w:rsid w:val="00F9012C"/>
    <w:rsid w:val="00F90144"/>
    <w:rsid w:val="00F901E7"/>
    <w:rsid w:val="00F90245"/>
    <w:rsid w:val="00F902A8"/>
    <w:rsid w:val="00F907DF"/>
    <w:rsid w:val="00F9091D"/>
    <w:rsid w:val="00F90959"/>
    <w:rsid w:val="00F90A4D"/>
    <w:rsid w:val="00F90D1F"/>
    <w:rsid w:val="00F90F1B"/>
    <w:rsid w:val="00F9129B"/>
    <w:rsid w:val="00F9135E"/>
    <w:rsid w:val="00F913CD"/>
    <w:rsid w:val="00F916F8"/>
    <w:rsid w:val="00F920A8"/>
    <w:rsid w:val="00F92164"/>
    <w:rsid w:val="00F9219C"/>
    <w:rsid w:val="00F921A1"/>
    <w:rsid w:val="00F92A70"/>
    <w:rsid w:val="00F92BBC"/>
    <w:rsid w:val="00F92EC6"/>
    <w:rsid w:val="00F930A1"/>
    <w:rsid w:val="00F93640"/>
    <w:rsid w:val="00F939D0"/>
    <w:rsid w:val="00F93BBA"/>
    <w:rsid w:val="00F93E08"/>
    <w:rsid w:val="00F93E54"/>
    <w:rsid w:val="00F943AC"/>
    <w:rsid w:val="00F943E4"/>
    <w:rsid w:val="00F94647"/>
    <w:rsid w:val="00F94685"/>
    <w:rsid w:val="00F94870"/>
    <w:rsid w:val="00F94879"/>
    <w:rsid w:val="00F94F49"/>
    <w:rsid w:val="00F95009"/>
    <w:rsid w:val="00F952DB"/>
    <w:rsid w:val="00F95669"/>
    <w:rsid w:val="00F956B5"/>
    <w:rsid w:val="00F95A32"/>
    <w:rsid w:val="00F95A80"/>
    <w:rsid w:val="00F95CBC"/>
    <w:rsid w:val="00F960E6"/>
    <w:rsid w:val="00F963A3"/>
    <w:rsid w:val="00F964A1"/>
    <w:rsid w:val="00F964B1"/>
    <w:rsid w:val="00F964D0"/>
    <w:rsid w:val="00F965FB"/>
    <w:rsid w:val="00F9670F"/>
    <w:rsid w:val="00F96E2C"/>
    <w:rsid w:val="00F97015"/>
    <w:rsid w:val="00F975CB"/>
    <w:rsid w:val="00F97684"/>
    <w:rsid w:val="00F97879"/>
    <w:rsid w:val="00F97A28"/>
    <w:rsid w:val="00F97C3C"/>
    <w:rsid w:val="00FA0249"/>
    <w:rsid w:val="00FA025B"/>
    <w:rsid w:val="00FA029B"/>
    <w:rsid w:val="00FA03C2"/>
    <w:rsid w:val="00FA047F"/>
    <w:rsid w:val="00FA048E"/>
    <w:rsid w:val="00FA04C4"/>
    <w:rsid w:val="00FA053F"/>
    <w:rsid w:val="00FA09CC"/>
    <w:rsid w:val="00FA0C40"/>
    <w:rsid w:val="00FA132F"/>
    <w:rsid w:val="00FA21C0"/>
    <w:rsid w:val="00FA2501"/>
    <w:rsid w:val="00FA2528"/>
    <w:rsid w:val="00FA2582"/>
    <w:rsid w:val="00FA2682"/>
    <w:rsid w:val="00FA26C2"/>
    <w:rsid w:val="00FA2BF8"/>
    <w:rsid w:val="00FA2F27"/>
    <w:rsid w:val="00FA2FB9"/>
    <w:rsid w:val="00FA3129"/>
    <w:rsid w:val="00FA3132"/>
    <w:rsid w:val="00FA3267"/>
    <w:rsid w:val="00FA32B6"/>
    <w:rsid w:val="00FA337F"/>
    <w:rsid w:val="00FA35ED"/>
    <w:rsid w:val="00FA37D2"/>
    <w:rsid w:val="00FA4440"/>
    <w:rsid w:val="00FA44F6"/>
    <w:rsid w:val="00FA45E5"/>
    <w:rsid w:val="00FA4789"/>
    <w:rsid w:val="00FA4926"/>
    <w:rsid w:val="00FA4971"/>
    <w:rsid w:val="00FA4DE8"/>
    <w:rsid w:val="00FA5566"/>
    <w:rsid w:val="00FA5A25"/>
    <w:rsid w:val="00FA5AC3"/>
    <w:rsid w:val="00FA5B21"/>
    <w:rsid w:val="00FA5B3D"/>
    <w:rsid w:val="00FA5C20"/>
    <w:rsid w:val="00FA60D0"/>
    <w:rsid w:val="00FA616F"/>
    <w:rsid w:val="00FA68BE"/>
    <w:rsid w:val="00FA68DE"/>
    <w:rsid w:val="00FA6A2F"/>
    <w:rsid w:val="00FA6ADB"/>
    <w:rsid w:val="00FA6FA3"/>
    <w:rsid w:val="00FA6FB4"/>
    <w:rsid w:val="00FA714F"/>
    <w:rsid w:val="00FA73AD"/>
    <w:rsid w:val="00FA744F"/>
    <w:rsid w:val="00FA7472"/>
    <w:rsid w:val="00FA77A6"/>
    <w:rsid w:val="00FA78BD"/>
    <w:rsid w:val="00FA7A01"/>
    <w:rsid w:val="00FA7E22"/>
    <w:rsid w:val="00FB009A"/>
    <w:rsid w:val="00FB0334"/>
    <w:rsid w:val="00FB039B"/>
    <w:rsid w:val="00FB03C2"/>
    <w:rsid w:val="00FB06BC"/>
    <w:rsid w:val="00FB0B96"/>
    <w:rsid w:val="00FB0C5B"/>
    <w:rsid w:val="00FB0F07"/>
    <w:rsid w:val="00FB1163"/>
    <w:rsid w:val="00FB12DA"/>
    <w:rsid w:val="00FB1778"/>
    <w:rsid w:val="00FB1EC3"/>
    <w:rsid w:val="00FB2165"/>
    <w:rsid w:val="00FB221A"/>
    <w:rsid w:val="00FB230B"/>
    <w:rsid w:val="00FB24B6"/>
    <w:rsid w:val="00FB24F2"/>
    <w:rsid w:val="00FB272B"/>
    <w:rsid w:val="00FB281C"/>
    <w:rsid w:val="00FB2DBE"/>
    <w:rsid w:val="00FB3652"/>
    <w:rsid w:val="00FB39B8"/>
    <w:rsid w:val="00FB3A2A"/>
    <w:rsid w:val="00FB41D1"/>
    <w:rsid w:val="00FB425B"/>
    <w:rsid w:val="00FB4500"/>
    <w:rsid w:val="00FB4521"/>
    <w:rsid w:val="00FB4AEA"/>
    <w:rsid w:val="00FB4C0C"/>
    <w:rsid w:val="00FB4C81"/>
    <w:rsid w:val="00FB4DDD"/>
    <w:rsid w:val="00FB4F12"/>
    <w:rsid w:val="00FB4F3F"/>
    <w:rsid w:val="00FB50CC"/>
    <w:rsid w:val="00FB523C"/>
    <w:rsid w:val="00FB52A1"/>
    <w:rsid w:val="00FB53E7"/>
    <w:rsid w:val="00FB5417"/>
    <w:rsid w:val="00FB584A"/>
    <w:rsid w:val="00FB58A5"/>
    <w:rsid w:val="00FB5AC8"/>
    <w:rsid w:val="00FB5C2A"/>
    <w:rsid w:val="00FB5D5D"/>
    <w:rsid w:val="00FB5EAD"/>
    <w:rsid w:val="00FB6318"/>
    <w:rsid w:val="00FB653E"/>
    <w:rsid w:val="00FB65F9"/>
    <w:rsid w:val="00FB662F"/>
    <w:rsid w:val="00FB69C0"/>
    <w:rsid w:val="00FB6A21"/>
    <w:rsid w:val="00FB6B90"/>
    <w:rsid w:val="00FB6D40"/>
    <w:rsid w:val="00FB6D63"/>
    <w:rsid w:val="00FB7434"/>
    <w:rsid w:val="00FB747A"/>
    <w:rsid w:val="00FB756F"/>
    <w:rsid w:val="00FB76BC"/>
    <w:rsid w:val="00FB7DCE"/>
    <w:rsid w:val="00FB7E1D"/>
    <w:rsid w:val="00FC0072"/>
    <w:rsid w:val="00FC0584"/>
    <w:rsid w:val="00FC07AF"/>
    <w:rsid w:val="00FC09B2"/>
    <w:rsid w:val="00FC0AA8"/>
    <w:rsid w:val="00FC0B0F"/>
    <w:rsid w:val="00FC0EDE"/>
    <w:rsid w:val="00FC0F17"/>
    <w:rsid w:val="00FC0FEE"/>
    <w:rsid w:val="00FC139C"/>
    <w:rsid w:val="00FC15AC"/>
    <w:rsid w:val="00FC1BB4"/>
    <w:rsid w:val="00FC1F9A"/>
    <w:rsid w:val="00FC223B"/>
    <w:rsid w:val="00FC2298"/>
    <w:rsid w:val="00FC22CB"/>
    <w:rsid w:val="00FC2445"/>
    <w:rsid w:val="00FC2464"/>
    <w:rsid w:val="00FC24C8"/>
    <w:rsid w:val="00FC24D4"/>
    <w:rsid w:val="00FC24E2"/>
    <w:rsid w:val="00FC27BF"/>
    <w:rsid w:val="00FC2AE2"/>
    <w:rsid w:val="00FC2ECC"/>
    <w:rsid w:val="00FC3005"/>
    <w:rsid w:val="00FC3199"/>
    <w:rsid w:val="00FC31B2"/>
    <w:rsid w:val="00FC3443"/>
    <w:rsid w:val="00FC36CC"/>
    <w:rsid w:val="00FC3848"/>
    <w:rsid w:val="00FC3AE7"/>
    <w:rsid w:val="00FC3B07"/>
    <w:rsid w:val="00FC3B6D"/>
    <w:rsid w:val="00FC3E06"/>
    <w:rsid w:val="00FC3EB0"/>
    <w:rsid w:val="00FC3FBC"/>
    <w:rsid w:val="00FC41CB"/>
    <w:rsid w:val="00FC4869"/>
    <w:rsid w:val="00FC491B"/>
    <w:rsid w:val="00FC49AC"/>
    <w:rsid w:val="00FC49E7"/>
    <w:rsid w:val="00FC4C40"/>
    <w:rsid w:val="00FC4DCC"/>
    <w:rsid w:val="00FC4F4E"/>
    <w:rsid w:val="00FC508B"/>
    <w:rsid w:val="00FC512D"/>
    <w:rsid w:val="00FC5516"/>
    <w:rsid w:val="00FC5889"/>
    <w:rsid w:val="00FC5BE7"/>
    <w:rsid w:val="00FC61D0"/>
    <w:rsid w:val="00FC65A2"/>
    <w:rsid w:val="00FC6696"/>
    <w:rsid w:val="00FC6890"/>
    <w:rsid w:val="00FC6C35"/>
    <w:rsid w:val="00FC6C7F"/>
    <w:rsid w:val="00FC7076"/>
    <w:rsid w:val="00FC71AC"/>
    <w:rsid w:val="00FC73EF"/>
    <w:rsid w:val="00FC7A68"/>
    <w:rsid w:val="00FC7F42"/>
    <w:rsid w:val="00FD03C2"/>
    <w:rsid w:val="00FD0619"/>
    <w:rsid w:val="00FD07A8"/>
    <w:rsid w:val="00FD0A64"/>
    <w:rsid w:val="00FD0DA4"/>
    <w:rsid w:val="00FD1004"/>
    <w:rsid w:val="00FD10D6"/>
    <w:rsid w:val="00FD11CE"/>
    <w:rsid w:val="00FD1247"/>
    <w:rsid w:val="00FD168A"/>
    <w:rsid w:val="00FD169C"/>
    <w:rsid w:val="00FD16B1"/>
    <w:rsid w:val="00FD1B29"/>
    <w:rsid w:val="00FD1D4F"/>
    <w:rsid w:val="00FD1D94"/>
    <w:rsid w:val="00FD1EDE"/>
    <w:rsid w:val="00FD1EF2"/>
    <w:rsid w:val="00FD22B2"/>
    <w:rsid w:val="00FD22B3"/>
    <w:rsid w:val="00FD22E9"/>
    <w:rsid w:val="00FD2688"/>
    <w:rsid w:val="00FD2B9D"/>
    <w:rsid w:val="00FD2C11"/>
    <w:rsid w:val="00FD2E4A"/>
    <w:rsid w:val="00FD2EF3"/>
    <w:rsid w:val="00FD3164"/>
    <w:rsid w:val="00FD32FB"/>
    <w:rsid w:val="00FD3354"/>
    <w:rsid w:val="00FD3418"/>
    <w:rsid w:val="00FD3471"/>
    <w:rsid w:val="00FD369B"/>
    <w:rsid w:val="00FD3BF6"/>
    <w:rsid w:val="00FD3E54"/>
    <w:rsid w:val="00FD3FB3"/>
    <w:rsid w:val="00FD42CC"/>
    <w:rsid w:val="00FD4450"/>
    <w:rsid w:val="00FD4582"/>
    <w:rsid w:val="00FD46C9"/>
    <w:rsid w:val="00FD46FB"/>
    <w:rsid w:val="00FD4B08"/>
    <w:rsid w:val="00FD4C75"/>
    <w:rsid w:val="00FD4D1B"/>
    <w:rsid w:val="00FD54A5"/>
    <w:rsid w:val="00FD55DE"/>
    <w:rsid w:val="00FD56C5"/>
    <w:rsid w:val="00FD5750"/>
    <w:rsid w:val="00FD5785"/>
    <w:rsid w:val="00FD5793"/>
    <w:rsid w:val="00FD584A"/>
    <w:rsid w:val="00FD5EEE"/>
    <w:rsid w:val="00FD5F6B"/>
    <w:rsid w:val="00FD6128"/>
    <w:rsid w:val="00FD62BD"/>
    <w:rsid w:val="00FD67EB"/>
    <w:rsid w:val="00FD6975"/>
    <w:rsid w:val="00FD6F5C"/>
    <w:rsid w:val="00FD6F82"/>
    <w:rsid w:val="00FD76B5"/>
    <w:rsid w:val="00FD775F"/>
    <w:rsid w:val="00FD7CBD"/>
    <w:rsid w:val="00FD7FF9"/>
    <w:rsid w:val="00FE013E"/>
    <w:rsid w:val="00FE0517"/>
    <w:rsid w:val="00FE08F3"/>
    <w:rsid w:val="00FE0A57"/>
    <w:rsid w:val="00FE0E63"/>
    <w:rsid w:val="00FE0E6A"/>
    <w:rsid w:val="00FE123B"/>
    <w:rsid w:val="00FE1A5F"/>
    <w:rsid w:val="00FE1F5B"/>
    <w:rsid w:val="00FE2197"/>
    <w:rsid w:val="00FE23DF"/>
    <w:rsid w:val="00FE2619"/>
    <w:rsid w:val="00FE2791"/>
    <w:rsid w:val="00FE2895"/>
    <w:rsid w:val="00FE29A4"/>
    <w:rsid w:val="00FE2B35"/>
    <w:rsid w:val="00FE2F7D"/>
    <w:rsid w:val="00FE3187"/>
    <w:rsid w:val="00FE324F"/>
    <w:rsid w:val="00FE3757"/>
    <w:rsid w:val="00FE3978"/>
    <w:rsid w:val="00FE39E0"/>
    <w:rsid w:val="00FE3AEA"/>
    <w:rsid w:val="00FE3BC6"/>
    <w:rsid w:val="00FE3D30"/>
    <w:rsid w:val="00FE4732"/>
    <w:rsid w:val="00FE476A"/>
    <w:rsid w:val="00FE4A0E"/>
    <w:rsid w:val="00FE4B6C"/>
    <w:rsid w:val="00FE4F5E"/>
    <w:rsid w:val="00FE53F6"/>
    <w:rsid w:val="00FE57CB"/>
    <w:rsid w:val="00FE597D"/>
    <w:rsid w:val="00FE5D32"/>
    <w:rsid w:val="00FE5E6D"/>
    <w:rsid w:val="00FE5F00"/>
    <w:rsid w:val="00FE6038"/>
    <w:rsid w:val="00FE617B"/>
    <w:rsid w:val="00FE64EC"/>
    <w:rsid w:val="00FE6634"/>
    <w:rsid w:val="00FE664B"/>
    <w:rsid w:val="00FE6DCC"/>
    <w:rsid w:val="00FE6DCE"/>
    <w:rsid w:val="00FE6E73"/>
    <w:rsid w:val="00FE6F67"/>
    <w:rsid w:val="00FE6FCF"/>
    <w:rsid w:val="00FE7154"/>
    <w:rsid w:val="00FE717A"/>
    <w:rsid w:val="00FE71DE"/>
    <w:rsid w:val="00FE78FE"/>
    <w:rsid w:val="00FE7ED1"/>
    <w:rsid w:val="00FF0366"/>
    <w:rsid w:val="00FF078D"/>
    <w:rsid w:val="00FF07D6"/>
    <w:rsid w:val="00FF0A76"/>
    <w:rsid w:val="00FF0AA4"/>
    <w:rsid w:val="00FF0D36"/>
    <w:rsid w:val="00FF131D"/>
    <w:rsid w:val="00FF139F"/>
    <w:rsid w:val="00FF1449"/>
    <w:rsid w:val="00FF204D"/>
    <w:rsid w:val="00FF232D"/>
    <w:rsid w:val="00FF2544"/>
    <w:rsid w:val="00FF26CE"/>
    <w:rsid w:val="00FF29A0"/>
    <w:rsid w:val="00FF2A27"/>
    <w:rsid w:val="00FF2AE7"/>
    <w:rsid w:val="00FF2D44"/>
    <w:rsid w:val="00FF2DCE"/>
    <w:rsid w:val="00FF2E93"/>
    <w:rsid w:val="00FF2EE5"/>
    <w:rsid w:val="00FF346B"/>
    <w:rsid w:val="00FF3576"/>
    <w:rsid w:val="00FF3671"/>
    <w:rsid w:val="00FF3833"/>
    <w:rsid w:val="00FF3C48"/>
    <w:rsid w:val="00FF3D8F"/>
    <w:rsid w:val="00FF3F6A"/>
    <w:rsid w:val="00FF431E"/>
    <w:rsid w:val="00FF44A2"/>
    <w:rsid w:val="00FF45DA"/>
    <w:rsid w:val="00FF47C8"/>
    <w:rsid w:val="00FF4B6D"/>
    <w:rsid w:val="00FF4DF4"/>
    <w:rsid w:val="00FF50C7"/>
    <w:rsid w:val="00FF5194"/>
    <w:rsid w:val="00FF51FF"/>
    <w:rsid w:val="00FF524B"/>
    <w:rsid w:val="00FF53B2"/>
    <w:rsid w:val="00FF54F3"/>
    <w:rsid w:val="00FF58A2"/>
    <w:rsid w:val="00FF5946"/>
    <w:rsid w:val="00FF5A3B"/>
    <w:rsid w:val="00FF5B9E"/>
    <w:rsid w:val="00FF5C85"/>
    <w:rsid w:val="00FF614C"/>
    <w:rsid w:val="00FF6478"/>
    <w:rsid w:val="00FF6A13"/>
    <w:rsid w:val="00FF6C0C"/>
    <w:rsid w:val="00FF6DE0"/>
    <w:rsid w:val="00FF6EC6"/>
    <w:rsid w:val="00FF6FDE"/>
    <w:rsid w:val="00FF70D5"/>
    <w:rsid w:val="00FF7362"/>
    <w:rsid w:val="00FF775F"/>
    <w:rsid w:val="00FF7854"/>
    <w:rsid w:val="00FF7964"/>
    <w:rsid w:val="01FA87FD"/>
    <w:rsid w:val="01FEFF1A"/>
    <w:rsid w:val="02BB7485"/>
    <w:rsid w:val="049D62FF"/>
    <w:rsid w:val="04D82BB4"/>
    <w:rsid w:val="0585A5D4"/>
    <w:rsid w:val="0593DB7B"/>
    <w:rsid w:val="06A895C3"/>
    <w:rsid w:val="06EAF2C1"/>
    <w:rsid w:val="06F8EC79"/>
    <w:rsid w:val="07826AF6"/>
    <w:rsid w:val="079836C6"/>
    <w:rsid w:val="07985D94"/>
    <w:rsid w:val="09B74EEF"/>
    <w:rsid w:val="0A48DC77"/>
    <w:rsid w:val="0AA7EE91"/>
    <w:rsid w:val="0B349BAD"/>
    <w:rsid w:val="0C330AB0"/>
    <w:rsid w:val="0D189C9C"/>
    <w:rsid w:val="0D95E5C5"/>
    <w:rsid w:val="107EAD8A"/>
    <w:rsid w:val="10B6B19E"/>
    <w:rsid w:val="10E54777"/>
    <w:rsid w:val="13AAEDA0"/>
    <w:rsid w:val="140EC080"/>
    <w:rsid w:val="145B6FFE"/>
    <w:rsid w:val="152F242C"/>
    <w:rsid w:val="1665CC18"/>
    <w:rsid w:val="178E1861"/>
    <w:rsid w:val="17F42F76"/>
    <w:rsid w:val="19541937"/>
    <w:rsid w:val="19642C52"/>
    <w:rsid w:val="1B76028F"/>
    <w:rsid w:val="1B8E1C4A"/>
    <w:rsid w:val="1BD64383"/>
    <w:rsid w:val="1DB58C74"/>
    <w:rsid w:val="1EA1A52C"/>
    <w:rsid w:val="1EC5560A"/>
    <w:rsid w:val="1ED28AB5"/>
    <w:rsid w:val="215362BA"/>
    <w:rsid w:val="231AC1AD"/>
    <w:rsid w:val="2374307F"/>
    <w:rsid w:val="2439F122"/>
    <w:rsid w:val="246B5F20"/>
    <w:rsid w:val="24AE8D73"/>
    <w:rsid w:val="26868204"/>
    <w:rsid w:val="26950125"/>
    <w:rsid w:val="2698BE33"/>
    <w:rsid w:val="26ACB371"/>
    <w:rsid w:val="27BA5DEA"/>
    <w:rsid w:val="2845CC91"/>
    <w:rsid w:val="29113D70"/>
    <w:rsid w:val="29AF7C69"/>
    <w:rsid w:val="2A0FFFBD"/>
    <w:rsid w:val="2B2F4A9A"/>
    <w:rsid w:val="2B4E7D0E"/>
    <w:rsid w:val="2C2C437F"/>
    <w:rsid w:val="2D876CF5"/>
    <w:rsid w:val="2F5F4C0A"/>
    <w:rsid w:val="31EEC60A"/>
    <w:rsid w:val="3246D726"/>
    <w:rsid w:val="32629879"/>
    <w:rsid w:val="32B3BF8C"/>
    <w:rsid w:val="33423769"/>
    <w:rsid w:val="34ACB872"/>
    <w:rsid w:val="34F58F31"/>
    <w:rsid w:val="350A7734"/>
    <w:rsid w:val="35186F70"/>
    <w:rsid w:val="35B02064"/>
    <w:rsid w:val="36769B22"/>
    <w:rsid w:val="36DA40FD"/>
    <w:rsid w:val="37C67CBC"/>
    <w:rsid w:val="3877667D"/>
    <w:rsid w:val="3880B552"/>
    <w:rsid w:val="389A93AD"/>
    <w:rsid w:val="38AB9D51"/>
    <w:rsid w:val="397EC611"/>
    <w:rsid w:val="39BF22DE"/>
    <w:rsid w:val="39DFD3D6"/>
    <w:rsid w:val="3A25D513"/>
    <w:rsid w:val="3A76499A"/>
    <w:rsid w:val="3A976014"/>
    <w:rsid w:val="3B2E968E"/>
    <w:rsid w:val="3B78C832"/>
    <w:rsid w:val="3BB2B2EA"/>
    <w:rsid w:val="3C3D1B18"/>
    <w:rsid w:val="3D532414"/>
    <w:rsid w:val="3D8F81E2"/>
    <w:rsid w:val="4086E129"/>
    <w:rsid w:val="40DDA220"/>
    <w:rsid w:val="4277EA8C"/>
    <w:rsid w:val="447D938B"/>
    <w:rsid w:val="4494C870"/>
    <w:rsid w:val="456AD96B"/>
    <w:rsid w:val="45A8FDDB"/>
    <w:rsid w:val="46B4F7B5"/>
    <w:rsid w:val="472BFD07"/>
    <w:rsid w:val="482C1EAF"/>
    <w:rsid w:val="485CB705"/>
    <w:rsid w:val="48AE2ECA"/>
    <w:rsid w:val="49D92446"/>
    <w:rsid w:val="4B951B71"/>
    <w:rsid w:val="4BEE401F"/>
    <w:rsid w:val="4D9CD3FE"/>
    <w:rsid w:val="4EF8AE19"/>
    <w:rsid w:val="4F7BD3D6"/>
    <w:rsid w:val="4F9BB2B5"/>
    <w:rsid w:val="4FAAAD42"/>
    <w:rsid w:val="527535B6"/>
    <w:rsid w:val="52AC8A21"/>
    <w:rsid w:val="530868C7"/>
    <w:rsid w:val="5477FACB"/>
    <w:rsid w:val="56DA401F"/>
    <w:rsid w:val="56E21B3F"/>
    <w:rsid w:val="599235E8"/>
    <w:rsid w:val="5B4784FE"/>
    <w:rsid w:val="5CA25D45"/>
    <w:rsid w:val="5D050D88"/>
    <w:rsid w:val="5D3E8D43"/>
    <w:rsid w:val="5EC20300"/>
    <w:rsid w:val="609884E4"/>
    <w:rsid w:val="60BC2797"/>
    <w:rsid w:val="6107BAEB"/>
    <w:rsid w:val="619C9990"/>
    <w:rsid w:val="631FD7B1"/>
    <w:rsid w:val="6332F9BF"/>
    <w:rsid w:val="6343D554"/>
    <w:rsid w:val="635379C1"/>
    <w:rsid w:val="6415954A"/>
    <w:rsid w:val="663430A6"/>
    <w:rsid w:val="6637FC99"/>
    <w:rsid w:val="66A072F5"/>
    <w:rsid w:val="66CEA786"/>
    <w:rsid w:val="670008BB"/>
    <w:rsid w:val="67228A96"/>
    <w:rsid w:val="677919BC"/>
    <w:rsid w:val="6834644E"/>
    <w:rsid w:val="6854F25B"/>
    <w:rsid w:val="68CEB2D6"/>
    <w:rsid w:val="68E4ECD1"/>
    <w:rsid w:val="693858F5"/>
    <w:rsid w:val="6B267AA5"/>
    <w:rsid w:val="6B2C96B8"/>
    <w:rsid w:val="6B3E3B0B"/>
    <w:rsid w:val="6BF148D7"/>
    <w:rsid w:val="6C67CD33"/>
    <w:rsid w:val="6CF9E6DD"/>
    <w:rsid w:val="6E0CBBF3"/>
    <w:rsid w:val="6E87D987"/>
    <w:rsid w:val="6FAB9A32"/>
    <w:rsid w:val="714CA29C"/>
    <w:rsid w:val="71F3537D"/>
    <w:rsid w:val="72D6AEB1"/>
    <w:rsid w:val="73EAEEF5"/>
    <w:rsid w:val="7454D1C0"/>
    <w:rsid w:val="7468EC01"/>
    <w:rsid w:val="753F1CB2"/>
    <w:rsid w:val="75D41523"/>
    <w:rsid w:val="76B189CC"/>
    <w:rsid w:val="77395043"/>
    <w:rsid w:val="7744AB81"/>
    <w:rsid w:val="77F6AC3E"/>
    <w:rsid w:val="782B934F"/>
    <w:rsid w:val="783EEFC4"/>
    <w:rsid w:val="78FAD5C9"/>
    <w:rsid w:val="7949DF3F"/>
    <w:rsid w:val="795E9AF5"/>
    <w:rsid w:val="7979573F"/>
    <w:rsid w:val="79A8FA23"/>
    <w:rsid w:val="79DD8D8A"/>
    <w:rsid w:val="7ACDB945"/>
    <w:rsid w:val="7B39A52B"/>
    <w:rsid w:val="7B7834A2"/>
    <w:rsid w:val="7CF988A0"/>
    <w:rsid w:val="7DC46A87"/>
    <w:rsid w:val="7E5453E8"/>
    <w:rsid w:val="7EA1AD5C"/>
    <w:rsid w:val="7EC1E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49A582"/>
  <w15:docId w15:val="{072A60C8-1311-4A8C-BE53-2A19963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sz w:val="22"/>
        <w:szCs w:val="22"/>
        <w:lang w:val="en-US" w:eastAsia="en-US" w:bidi="ar-SA"/>
      </w:rPr>
    </w:rPrDefault>
    <w:pPrDefault>
      <w:pPr>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F6A"/>
  </w:style>
  <w:style w:type="paragraph" w:styleId="Heading1">
    <w:name w:val="heading 1"/>
    <w:basedOn w:val="Normal"/>
    <w:next w:val="Normal"/>
    <w:link w:val="Heading1Char"/>
    <w:qFormat/>
    <w:rsid w:val="00BB526D"/>
    <w:pPr>
      <w:keepNext/>
      <w:numPr>
        <w:numId w:val="2"/>
      </w:numPr>
      <w:jc w:val="center"/>
      <w:outlineLvl w:val="0"/>
    </w:pPr>
    <w:rPr>
      <w:b/>
      <w:caps/>
      <w:kern w:val="28"/>
    </w:rPr>
  </w:style>
  <w:style w:type="paragraph" w:styleId="Heading2">
    <w:name w:val="heading 2"/>
    <w:basedOn w:val="Normal"/>
    <w:next w:val="Normal"/>
    <w:link w:val="Heading2Char"/>
    <w:qFormat/>
    <w:rsid w:val="006A0CEF"/>
    <w:pPr>
      <w:keepNext/>
      <w:numPr>
        <w:ilvl w:val="1"/>
        <w:numId w:val="2"/>
      </w:numPr>
      <w:ind w:left="720"/>
      <w:outlineLvl w:val="1"/>
    </w:pPr>
    <w:rPr>
      <w:b/>
    </w:rPr>
  </w:style>
  <w:style w:type="paragraph" w:styleId="Heading3">
    <w:name w:val="heading 3"/>
    <w:basedOn w:val="Normal"/>
    <w:next w:val="Normal"/>
    <w:qFormat/>
    <w:rsid w:val="006A0CEF"/>
    <w:pPr>
      <w:keepNext/>
      <w:numPr>
        <w:ilvl w:val="2"/>
        <w:numId w:val="2"/>
      </w:numPr>
      <w:ind w:left="1440"/>
      <w:outlineLvl w:val="2"/>
    </w:pPr>
    <w:rPr>
      <w:b/>
    </w:rPr>
  </w:style>
  <w:style w:type="paragraph" w:styleId="Heading4">
    <w:name w:val="heading 4"/>
    <w:basedOn w:val="Normal"/>
    <w:next w:val="Normal"/>
    <w:qFormat/>
    <w:rsid w:val="004D71D0"/>
    <w:pPr>
      <w:keepNext/>
      <w:numPr>
        <w:ilvl w:val="3"/>
        <w:numId w:val="2"/>
      </w:numPr>
      <w:spacing w:after="240"/>
      <w:jc w:val="left"/>
      <w:outlineLvl w:val="3"/>
    </w:pPr>
    <w:rPr>
      <w:b/>
    </w:rPr>
  </w:style>
  <w:style w:type="paragraph" w:styleId="Heading5">
    <w:name w:val="heading 5"/>
    <w:basedOn w:val="Normal"/>
    <w:next w:val="Normal"/>
    <w:qFormat/>
    <w:rsid w:val="004D71D0"/>
    <w:pPr>
      <w:numPr>
        <w:ilvl w:val="4"/>
        <w:numId w:val="2"/>
      </w:numPr>
      <w:spacing w:after="240"/>
      <w:outlineLvl w:val="4"/>
    </w:pPr>
    <w:rPr>
      <w:b/>
    </w:rPr>
  </w:style>
  <w:style w:type="paragraph" w:styleId="Heading6">
    <w:name w:val="heading 6"/>
    <w:basedOn w:val="Normal"/>
    <w:next w:val="Normal"/>
    <w:qFormat/>
    <w:rsid w:val="004D71D0"/>
    <w:pPr>
      <w:numPr>
        <w:ilvl w:val="5"/>
        <w:numId w:val="2"/>
      </w:numPr>
      <w:spacing w:before="240" w:after="60"/>
      <w:outlineLvl w:val="5"/>
    </w:pPr>
    <w:rPr>
      <w:i/>
    </w:rPr>
  </w:style>
  <w:style w:type="paragraph" w:styleId="Heading7">
    <w:name w:val="heading 7"/>
    <w:basedOn w:val="Normal"/>
    <w:next w:val="Normal"/>
    <w:qFormat/>
    <w:rsid w:val="004D71D0"/>
    <w:pPr>
      <w:numPr>
        <w:ilvl w:val="6"/>
        <w:numId w:val="2"/>
      </w:numPr>
      <w:spacing w:before="240" w:after="60"/>
      <w:outlineLvl w:val="6"/>
    </w:pPr>
    <w:rPr>
      <w:sz w:val="20"/>
    </w:rPr>
  </w:style>
  <w:style w:type="paragraph" w:styleId="Heading8">
    <w:name w:val="heading 8"/>
    <w:basedOn w:val="Normal"/>
    <w:next w:val="Normal"/>
    <w:qFormat/>
    <w:rsid w:val="004D71D0"/>
    <w:pPr>
      <w:numPr>
        <w:ilvl w:val="7"/>
        <w:numId w:val="2"/>
      </w:numPr>
      <w:spacing w:before="240" w:after="60"/>
      <w:outlineLvl w:val="7"/>
    </w:pPr>
    <w:rPr>
      <w:i/>
      <w:sz w:val="20"/>
    </w:rPr>
  </w:style>
  <w:style w:type="paragraph" w:styleId="Heading9">
    <w:name w:val="heading 9"/>
    <w:basedOn w:val="Normal"/>
    <w:next w:val="Normal"/>
    <w:qFormat/>
    <w:rsid w:val="004D71D0"/>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71D0"/>
    <w:rPr>
      <w:rFonts w:ascii="Tahoma" w:hAnsi="Tahoma" w:cs="Tahoma"/>
      <w:sz w:val="16"/>
      <w:szCs w:val="16"/>
    </w:rPr>
  </w:style>
  <w:style w:type="paragraph" w:styleId="Header">
    <w:name w:val="header"/>
    <w:basedOn w:val="Normal"/>
    <w:link w:val="HeaderChar"/>
    <w:uiPriority w:val="99"/>
    <w:rsid w:val="006A0CEF"/>
    <w:pPr>
      <w:jc w:val="center"/>
    </w:pPr>
  </w:style>
  <w:style w:type="paragraph" w:styleId="Footer">
    <w:name w:val="footer"/>
    <w:basedOn w:val="Normal"/>
    <w:rsid w:val="006A0CEF"/>
  </w:style>
  <w:style w:type="character" w:styleId="CommentReference">
    <w:name w:val="annotation reference"/>
    <w:basedOn w:val="DefaultParagraphFont"/>
    <w:semiHidden/>
    <w:rsid w:val="00DE4214"/>
    <w:rPr>
      <w:rFonts w:cs="Times New Roman"/>
      <w:sz w:val="16"/>
      <w:szCs w:val="16"/>
    </w:rPr>
  </w:style>
  <w:style w:type="paragraph" w:styleId="CommentText">
    <w:name w:val="annotation text"/>
    <w:basedOn w:val="Normal"/>
    <w:link w:val="CommentTextChar"/>
    <w:semiHidden/>
    <w:rsid w:val="00DE4214"/>
    <w:rPr>
      <w:sz w:val="20"/>
    </w:rPr>
  </w:style>
  <w:style w:type="paragraph" w:styleId="CommentSubject">
    <w:name w:val="annotation subject"/>
    <w:basedOn w:val="CommentText"/>
    <w:next w:val="CommentText"/>
    <w:semiHidden/>
    <w:rsid w:val="00DE4214"/>
    <w:rPr>
      <w:b/>
      <w:bCs/>
    </w:rPr>
  </w:style>
  <w:style w:type="paragraph" w:styleId="FootnoteText">
    <w:name w:val="footnote text"/>
    <w:aliases w:val="single space,ft,ALTS FOOTNOTE,fn,Footnote Text Char Char,FOOTNOTES,ADB,Fußnote,footnote text,ft1,Footnote,(NECG) Footnote Text,Geneva 9,Font: Geneva 9,Boston 10,f,Footnote Text Char Char Char Char Ch,ft Char Char Char,AD,Footnote Text2,ft2"/>
    <w:basedOn w:val="Normal"/>
    <w:link w:val="FootnoteTextChar"/>
    <w:uiPriority w:val="99"/>
    <w:qFormat/>
    <w:rsid w:val="004D71D0"/>
    <w:pPr>
      <w:ind w:left="187" w:hanging="187"/>
    </w:pPr>
    <w:rPr>
      <w:color w:val="000000"/>
      <w:sz w:val="18"/>
    </w:rPr>
  </w:style>
  <w:style w:type="character" w:styleId="FootnoteReference">
    <w:name w:val="footnote reference"/>
    <w:aliases w:val="ftref,16 Point,Superscript 6 Point,Ref,de nota al pie,fr,(NECG) Footnote Reference,footnote ref,Fußnotenzeichen DISS,BVI fnr,Char Char Char Char Car Char,Footnote Ref in FtNote,Footnote Reference Number,Footnote + Arial,10 pt,Black"/>
    <w:basedOn w:val="DefaultParagraphFont"/>
    <w:link w:val="BVIfnrCarCar1"/>
    <w:uiPriority w:val="99"/>
    <w:qFormat/>
    <w:rsid w:val="004D71D0"/>
    <w:rPr>
      <w:rFonts w:cs="Times New Roman"/>
      <w:vertAlign w:val="superscript"/>
    </w:rPr>
  </w:style>
  <w:style w:type="paragraph" w:styleId="TOC1">
    <w:name w:val="toc 1"/>
    <w:basedOn w:val="Normal"/>
    <w:next w:val="Normal"/>
    <w:uiPriority w:val="39"/>
    <w:rsid w:val="00FF3F6A"/>
    <w:pPr>
      <w:tabs>
        <w:tab w:val="left" w:pos="720"/>
        <w:tab w:val="right" w:pos="9360"/>
      </w:tabs>
      <w:spacing w:before="120" w:after="60"/>
      <w:jc w:val="left"/>
    </w:pPr>
    <w:rPr>
      <w:rFonts w:cs="Arial"/>
      <w:caps/>
      <w:noProof/>
    </w:rPr>
  </w:style>
  <w:style w:type="paragraph" w:styleId="TOC2">
    <w:name w:val="toc 2"/>
    <w:basedOn w:val="Normal"/>
    <w:next w:val="Normal"/>
    <w:uiPriority w:val="39"/>
    <w:rsid w:val="006A0CEF"/>
    <w:pPr>
      <w:tabs>
        <w:tab w:val="left" w:pos="1440"/>
        <w:tab w:val="right" w:pos="9360"/>
      </w:tabs>
      <w:ind w:left="720"/>
      <w:jc w:val="left"/>
    </w:pPr>
    <w:rPr>
      <w:noProof/>
    </w:rPr>
  </w:style>
  <w:style w:type="paragraph" w:customStyle="1" w:styleId="Appendix">
    <w:name w:val="Appendix"/>
    <w:basedOn w:val="Heading1"/>
    <w:link w:val="AppendixChar"/>
    <w:qFormat/>
    <w:rsid w:val="00BB526D"/>
    <w:pPr>
      <w:numPr>
        <w:numId w:val="0"/>
      </w:numPr>
    </w:pPr>
  </w:style>
  <w:style w:type="paragraph" w:styleId="TOC3">
    <w:name w:val="toc 3"/>
    <w:basedOn w:val="Normal"/>
    <w:next w:val="Normal"/>
    <w:uiPriority w:val="39"/>
    <w:rsid w:val="006A0CEF"/>
    <w:pPr>
      <w:numPr>
        <w:numId w:val="3"/>
      </w:numPr>
      <w:spacing w:before="120" w:after="60"/>
    </w:pPr>
  </w:style>
  <w:style w:type="character" w:customStyle="1" w:styleId="AppendixChar">
    <w:name w:val="Appendix Char"/>
    <w:basedOn w:val="Heading1Char"/>
    <w:link w:val="Appendix"/>
    <w:rsid w:val="00BB526D"/>
    <w:rPr>
      <w:b/>
      <w:caps/>
      <w:kern w:val="28"/>
    </w:rPr>
  </w:style>
  <w:style w:type="paragraph" w:customStyle="1" w:styleId="FrontMatter">
    <w:name w:val="Front Matter"/>
    <w:basedOn w:val="Appendix"/>
    <w:link w:val="FrontMatterChar"/>
    <w:qFormat/>
    <w:rsid w:val="00BB526D"/>
  </w:style>
  <w:style w:type="character" w:customStyle="1" w:styleId="FrontMatterChar">
    <w:name w:val="Front Matter Char"/>
    <w:basedOn w:val="AppendixChar"/>
    <w:link w:val="FrontMatter"/>
    <w:rsid w:val="00BB526D"/>
    <w:rPr>
      <w:b/>
      <w:caps/>
      <w:kern w:val="28"/>
    </w:rPr>
  </w:style>
  <w:style w:type="character" w:styleId="EndnoteReference">
    <w:name w:val="endnote reference"/>
    <w:basedOn w:val="DefaultParagraphFont"/>
    <w:semiHidden/>
    <w:rsid w:val="004D71D0"/>
    <w:rPr>
      <w:rFonts w:cs="Times New Roman"/>
      <w:vertAlign w:val="superscript"/>
    </w:rPr>
  </w:style>
  <w:style w:type="paragraph" w:styleId="EndnoteText">
    <w:name w:val="endnote text"/>
    <w:basedOn w:val="Normal"/>
    <w:link w:val="EndnoteTextChar"/>
    <w:semiHidden/>
    <w:rsid w:val="004D71D0"/>
    <w:rPr>
      <w:sz w:val="20"/>
    </w:rPr>
  </w:style>
  <w:style w:type="character" w:styleId="Hyperlink">
    <w:name w:val="Hyperlink"/>
    <w:basedOn w:val="DefaultParagraphFont"/>
    <w:uiPriority w:val="99"/>
    <w:rsid w:val="004D71D0"/>
    <w:rPr>
      <w:rFonts w:cs="Times New Roman"/>
      <w:color w:val="0000FF"/>
      <w:u w:val="single"/>
    </w:rPr>
  </w:style>
  <w:style w:type="character" w:styleId="FollowedHyperlink">
    <w:name w:val="FollowedHyperlink"/>
    <w:basedOn w:val="DefaultParagraphFont"/>
    <w:rsid w:val="000E55C5"/>
    <w:rPr>
      <w:rFonts w:cs="Times New Roman"/>
      <w:color w:val="800080"/>
      <w:u w:val="single"/>
    </w:rPr>
  </w:style>
  <w:style w:type="character" w:customStyle="1" w:styleId="Heading1Char">
    <w:name w:val="Heading 1 Char"/>
    <w:basedOn w:val="DefaultParagraphFont"/>
    <w:link w:val="Heading1"/>
    <w:locked/>
    <w:rsid w:val="00BB526D"/>
    <w:rPr>
      <w:b/>
      <w:caps/>
      <w:kern w:val="28"/>
    </w:rPr>
  </w:style>
  <w:style w:type="character" w:customStyle="1" w:styleId="Heading2Char">
    <w:name w:val="Heading 2 Char"/>
    <w:basedOn w:val="DefaultParagraphFont"/>
    <w:link w:val="Heading2"/>
    <w:locked/>
    <w:rsid w:val="006A0CEF"/>
    <w:rPr>
      <w:b/>
    </w:rPr>
  </w:style>
  <w:style w:type="character" w:customStyle="1" w:styleId="EndnoteTextChar">
    <w:name w:val="Endnote Text Char"/>
    <w:basedOn w:val="DefaultParagraphFont"/>
    <w:link w:val="EndnoteText"/>
    <w:locked/>
    <w:rsid w:val="000E55C5"/>
    <w:rPr>
      <w:rFonts w:ascii="Arial" w:hAnsi="Arial" w:cs="Times New Roman"/>
      <w:lang w:val="en-US" w:eastAsia="en-US" w:bidi="ar-SA"/>
    </w:rPr>
  </w:style>
  <w:style w:type="paragraph" w:styleId="ListParagraph">
    <w:name w:val="List Paragraph"/>
    <w:aliases w:val="List Paragraph1,Recommendation,List Paragraph11,Bulleted List Paragraph,data item,Bullet list,Paragraph,CPS,Akapit z listą BS,List Paragraph 1,NUMBERED PARAGRAPH,References,List_Paragraph,Multilevel para_II,Numbered Paragraph,# pharagraph"/>
    <w:basedOn w:val="Normal"/>
    <w:link w:val="ListParagraphChar"/>
    <w:uiPriority w:val="34"/>
    <w:qFormat/>
    <w:rsid w:val="000E55C5"/>
    <w:pPr>
      <w:ind w:left="720"/>
      <w:jc w:val="left"/>
    </w:pPr>
    <w:rPr>
      <w:rFonts w:eastAsia="MS Mincho"/>
      <w:szCs w:val="24"/>
      <w:lang w:eastAsia="ja-JP"/>
    </w:rPr>
  </w:style>
  <w:style w:type="paragraph" w:styleId="Revision">
    <w:name w:val="Revision"/>
    <w:hidden/>
    <w:semiHidden/>
    <w:rsid w:val="006F6971"/>
  </w:style>
  <w:style w:type="character" w:customStyle="1" w:styleId="HeaderChar">
    <w:name w:val="Header Char"/>
    <w:basedOn w:val="DefaultParagraphFont"/>
    <w:link w:val="Header"/>
    <w:uiPriority w:val="99"/>
    <w:locked/>
    <w:rsid w:val="006A0CEF"/>
    <w:rPr>
      <w:rFonts w:ascii="Arial" w:hAnsi="Arial"/>
      <w:sz w:val="22"/>
    </w:rPr>
  </w:style>
  <w:style w:type="character" w:customStyle="1" w:styleId="FootnoteTextChar">
    <w:name w:val="Footnote Text Char"/>
    <w:aliases w:val="single space Char1,ft Char1,ALTS FOOTNOTE Char1,fn Char1,Footnote Text Char Char Char1,FOOTNOTES Char1,ADB Char1,Fußnote Char1,footnote text Char,ft1 Char,Footnote Char,(NECG) Footnote Text Char,Geneva 9 Char,Font: Geneva 9 Char"/>
    <w:basedOn w:val="DefaultParagraphFont"/>
    <w:link w:val="FootnoteText"/>
    <w:uiPriority w:val="99"/>
    <w:qFormat/>
    <w:locked/>
    <w:rsid w:val="002551A2"/>
    <w:rPr>
      <w:rFonts w:ascii="Arial" w:hAnsi="Arial" w:cs="Times New Roman"/>
      <w:color w:val="000000"/>
      <w:sz w:val="18"/>
    </w:rPr>
  </w:style>
  <w:style w:type="character" w:customStyle="1" w:styleId="singlespaceChar">
    <w:name w:val="single space Char"/>
    <w:aliases w:val="ft Char,ALTS FOOTNOTE Char,fn Char,Footnote Text Char Char Char,FOOTNOTES Char,ADB Char,Fußnote Char,footnote text Char Char"/>
    <w:basedOn w:val="DefaultParagraphFont"/>
    <w:semiHidden/>
    <w:locked/>
    <w:rsid w:val="00D80CEA"/>
    <w:rPr>
      <w:rFonts w:cs="Times New Roman"/>
      <w:sz w:val="20"/>
      <w:szCs w:val="20"/>
    </w:rPr>
  </w:style>
  <w:style w:type="character" w:customStyle="1" w:styleId="ListParagraphChar">
    <w:name w:val="List Paragraph Char"/>
    <w:aliases w:val="List Paragraph1 Char,Recommendation Char,List Paragraph11 Char,Bulleted List Paragraph Char,data item Char,Bullet list Char,Paragraph Char,CPS Char,Akapit z listą BS Char,List Paragraph 1 Char,NUMBERED PARAGRAPH Char,References Char"/>
    <w:basedOn w:val="DefaultParagraphFont"/>
    <w:link w:val="ListParagraph"/>
    <w:uiPriority w:val="34"/>
    <w:qFormat/>
    <w:locked/>
    <w:rsid w:val="00DD7715"/>
    <w:rPr>
      <w:rFonts w:ascii="Arial" w:eastAsia="MS Mincho" w:hAnsi="Arial"/>
      <w:sz w:val="22"/>
      <w:szCs w:val="24"/>
      <w:lang w:eastAsia="ja-JP"/>
    </w:rPr>
  </w:style>
  <w:style w:type="character" w:customStyle="1" w:styleId="normaltextrun">
    <w:name w:val="normaltextrun"/>
    <w:basedOn w:val="DefaultParagraphFont"/>
    <w:rsid w:val="00DB215D"/>
  </w:style>
  <w:style w:type="character" w:styleId="UnresolvedMention">
    <w:name w:val="Unresolved Mention"/>
    <w:basedOn w:val="DefaultParagraphFont"/>
    <w:uiPriority w:val="99"/>
    <w:semiHidden/>
    <w:unhideWhenUsed/>
    <w:rsid w:val="0027566F"/>
    <w:rPr>
      <w:color w:val="605E5C"/>
      <w:shd w:val="clear" w:color="auto" w:fill="E1DFDD"/>
    </w:rPr>
  </w:style>
  <w:style w:type="table" w:styleId="TableGrid">
    <w:name w:val="Table Grid"/>
    <w:basedOn w:val="TableNormal"/>
    <w:uiPriority w:val="39"/>
    <w:rsid w:val="00E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871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aption">
    <w:name w:val="caption"/>
    <w:basedOn w:val="Normal"/>
    <w:next w:val="Normal"/>
    <w:unhideWhenUsed/>
    <w:qFormat/>
    <w:locked/>
    <w:rsid w:val="009408D9"/>
    <w:pPr>
      <w:spacing w:after="200"/>
    </w:pPr>
    <w:rPr>
      <w:i/>
      <w:iCs/>
      <w:color w:val="1F497D" w:themeColor="text2"/>
      <w:sz w:val="18"/>
      <w:szCs w:val="18"/>
    </w:rPr>
  </w:style>
  <w:style w:type="paragraph" w:customStyle="1" w:styleId="BVIfnrCarCar1">
    <w:name w:val="BVI fnr Car Car1"/>
    <w:aliases w:val="BVI fnr Car1,BVI fnr Car Car Car Car,Footnote text, BVI fnr, BVI fnr Car Car,BVI fnr Car Car,BVI fnr Car,BVI fnr Car Car Char,BVI fnr Car Car Car Car Char,BVI fnr Car Car Car Car Char Char Char,BVI fnr Char Char"/>
    <w:basedOn w:val="Normal"/>
    <w:link w:val="FootnoteReference"/>
    <w:uiPriority w:val="99"/>
    <w:rsid w:val="004D0082"/>
    <w:pPr>
      <w:spacing w:after="160" w:line="240" w:lineRule="exact"/>
      <w:jc w:val="left"/>
    </w:pPr>
    <w:rPr>
      <w:vertAlign w:val="superscript"/>
    </w:rPr>
  </w:style>
  <w:style w:type="character" w:customStyle="1" w:styleId="CommentTextChar">
    <w:name w:val="Comment Text Char"/>
    <w:basedOn w:val="DefaultParagraphFont"/>
    <w:link w:val="CommentText"/>
    <w:semiHidden/>
    <w:rsid w:val="00125796"/>
    <w:rPr>
      <w:sz w:val="20"/>
    </w:rPr>
  </w:style>
  <w:style w:type="paragraph" w:styleId="NormalWeb">
    <w:name w:val="Normal (Web)"/>
    <w:basedOn w:val="Normal"/>
    <w:semiHidden/>
    <w:unhideWhenUsed/>
    <w:rsid w:val="001D1591"/>
    <w:rPr>
      <w:rFonts w:ascii="Times New Roman" w:hAnsi="Times New Roman"/>
      <w:sz w:val="24"/>
      <w:szCs w:val="24"/>
    </w:rPr>
  </w:style>
  <w:style w:type="paragraph" w:customStyle="1" w:styleId="Default">
    <w:name w:val="Default"/>
    <w:rsid w:val="00AB5D76"/>
    <w:pPr>
      <w:autoSpaceDE w:val="0"/>
      <w:autoSpaceDN w:val="0"/>
      <w:adjustRightInd w:val="0"/>
      <w:jc w:val="left"/>
    </w:pPr>
    <w:rPr>
      <w:rFonts w:cs="Arial"/>
      <w:color w:val="000000"/>
      <w:sz w:val="24"/>
      <w:szCs w:val="24"/>
    </w:rPr>
  </w:style>
  <w:style w:type="paragraph" w:customStyle="1" w:styleId="xmsolistparagraph">
    <w:name w:val="x_msolistparagraph"/>
    <w:basedOn w:val="Normal"/>
    <w:rsid w:val="00AE03D2"/>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8167128">
      <w:bodyDiv w:val="1"/>
      <w:marLeft w:val="0"/>
      <w:marRight w:val="0"/>
      <w:marTop w:val="0"/>
      <w:marBottom w:val="0"/>
      <w:divBdr>
        <w:top w:val="none" w:sz="0" w:space="0" w:color="auto"/>
        <w:left w:val="none" w:sz="0" w:space="0" w:color="auto"/>
        <w:bottom w:val="none" w:sz="0" w:space="0" w:color="auto"/>
        <w:right w:val="none" w:sz="0" w:space="0" w:color="auto"/>
      </w:divBdr>
      <w:divsChild>
        <w:div w:id="2019917633">
          <w:marLeft w:val="0"/>
          <w:marRight w:val="0"/>
          <w:marTop w:val="0"/>
          <w:marBottom w:val="0"/>
          <w:divBdr>
            <w:top w:val="none" w:sz="0" w:space="0" w:color="auto"/>
            <w:left w:val="none" w:sz="0" w:space="0" w:color="auto"/>
            <w:bottom w:val="none" w:sz="0" w:space="0" w:color="auto"/>
            <w:right w:val="none" w:sz="0" w:space="0" w:color="auto"/>
          </w:divBdr>
          <w:divsChild>
            <w:div w:id="226847496">
              <w:marLeft w:val="0"/>
              <w:marRight w:val="0"/>
              <w:marTop w:val="0"/>
              <w:marBottom w:val="0"/>
              <w:divBdr>
                <w:top w:val="none" w:sz="0" w:space="0" w:color="auto"/>
                <w:left w:val="none" w:sz="0" w:space="0" w:color="auto"/>
                <w:bottom w:val="none" w:sz="0" w:space="0" w:color="auto"/>
                <w:right w:val="none" w:sz="0" w:space="0" w:color="auto"/>
              </w:divBdr>
              <w:divsChild>
                <w:div w:id="387925050">
                  <w:marLeft w:val="0"/>
                  <w:marRight w:val="0"/>
                  <w:marTop w:val="0"/>
                  <w:marBottom w:val="0"/>
                  <w:divBdr>
                    <w:top w:val="none" w:sz="0" w:space="0" w:color="auto"/>
                    <w:left w:val="none" w:sz="0" w:space="0" w:color="auto"/>
                    <w:bottom w:val="none" w:sz="0" w:space="0" w:color="auto"/>
                    <w:right w:val="none" w:sz="0" w:space="0" w:color="auto"/>
                  </w:divBdr>
                </w:div>
              </w:divsChild>
            </w:div>
            <w:div w:id="491723624">
              <w:marLeft w:val="0"/>
              <w:marRight w:val="0"/>
              <w:marTop w:val="0"/>
              <w:marBottom w:val="0"/>
              <w:divBdr>
                <w:top w:val="none" w:sz="0" w:space="0" w:color="auto"/>
                <w:left w:val="none" w:sz="0" w:space="0" w:color="auto"/>
                <w:bottom w:val="none" w:sz="0" w:space="0" w:color="auto"/>
                <w:right w:val="none" w:sz="0" w:space="0" w:color="auto"/>
              </w:divBdr>
              <w:divsChild>
                <w:div w:id="1906378540">
                  <w:marLeft w:val="0"/>
                  <w:marRight w:val="0"/>
                  <w:marTop w:val="0"/>
                  <w:marBottom w:val="0"/>
                  <w:divBdr>
                    <w:top w:val="none" w:sz="0" w:space="0" w:color="auto"/>
                    <w:left w:val="none" w:sz="0" w:space="0" w:color="auto"/>
                    <w:bottom w:val="none" w:sz="0" w:space="0" w:color="auto"/>
                    <w:right w:val="none" w:sz="0" w:space="0" w:color="auto"/>
                  </w:divBdr>
                </w:div>
              </w:divsChild>
            </w:div>
            <w:div w:id="505287581">
              <w:marLeft w:val="0"/>
              <w:marRight w:val="0"/>
              <w:marTop w:val="0"/>
              <w:marBottom w:val="0"/>
              <w:divBdr>
                <w:top w:val="none" w:sz="0" w:space="0" w:color="auto"/>
                <w:left w:val="none" w:sz="0" w:space="0" w:color="auto"/>
                <w:bottom w:val="none" w:sz="0" w:space="0" w:color="auto"/>
                <w:right w:val="none" w:sz="0" w:space="0" w:color="auto"/>
              </w:divBdr>
            </w:div>
            <w:div w:id="709695126">
              <w:marLeft w:val="0"/>
              <w:marRight w:val="0"/>
              <w:marTop w:val="0"/>
              <w:marBottom w:val="0"/>
              <w:divBdr>
                <w:top w:val="none" w:sz="0" w:space="0" w:color="auto"/>
                <w:left w:val="none" w:sz="0" w:space="0" w:color="auto"/>
                <w:bottom w:val="none" w:sz="0" w:space="0" w:color="auto"/>
                <w:right w:val="none" w:sz="0" w:space="0" w:color="auto"/>
              </w:divBdr>
              <w:divsChild>
                <w:div w:id="935751592">
                  <w:marLeft w:val="0"/>
                  <w:marRight w:val="0"/>
                  <w:marTop w:val="0"/>
                  <w:marBottom w:val="0"/>
                  <w:divBdr>
                    <w:top w:val="none" w:sz="0" w:space="0" w:color="auto"/>
                    <w:left w:val="none" w:sz="0" w:space="0" w:color="auto"/>
                    <w:bottom w:val="none" w:sz="0" w:space="0" w:color="auto"/>
                    <w:right w:val="none" w:sz="0" w:space="0" w:color="auto"/>
                  </w:divBdr>
                </w:div>
              </w:divsChild>
            </w:div>
            <w:div w:id="1272392235">
              <w:marLeft w:val="0"/>
              <w:marRight w:val="0"/>
              <w:marTop w:val="0"/>
              <w:marBottom w:val="0"/>
              <w:divBdr>
                <w:top w:val="none" w:sz="0" w:space="0" w:color="auto"/>
                <w:left w:val="none" w:sz="0" w:space="0" w:color="auto"/>
                <w:bottom w:val="none" w:sz="0" w:space="0" w:color="auto"/>
                <w:right w:val="none" w:sz="0" w:space="0" w:color="auto"/>
              </w:divBdr>
              <w:divsChild>
                <w:div w:id="2034068319">
                  <w:marLeft w:val="0"/>
                  <w:marRight w:val="0"/>
                  <w:marTop w:val="0"/>
                  <w:marBottom w:val="0"/>
                  <w:divBdr>
                    <w:top w:val="none" w:sz="0" w:space="0" w:color="auto"/>
                    <w:left w:val="none" w:sz="0" w:space="0" w:color="auto"/>
                    <w:bottom w:val="none" w:sz="0" w:space="0" w:color="auto"/>
                    <w:right w:val="none" w:sz="0" w:space="0" w:color="auto"/>
                  </w:divBdr>
                </w:div>
              </w:divsChild>
            </w:div>
            <w:div w:id="1411465088">
              <w:marLeft w:val="0"/>
              <w:marRight w:val="0"/>
              <w:marTop w:val="0"/>
              <w:marBottom w:val="0"/>
              <w:divBdr>
                <w:top w:val="none" w:sz="0" w:space="0" w:color="auto"/>
                <w:left w:val="none" w:sz="0" w:space="0" w:color="auto"/>
                <w:bottom w:val="none" w:sz="0" w:space="0" w:color="auto"/>
                <w:right w:val="none" w:sz="0" w:space="0" w:color="auto"/>
              </w:divBdr>
              <w:divsChild>
                <w:div w:id="1274555043">
                  <w:marLeft w:val="0"/>
                  <w:marRight w:val="0"/>
                  <w:marTop w:val="0"/>
                  <w:marBottom w:val="0"/>
                  <w:divBdr>
                    <w:top w:val="none" w:sz="0" w:space="0" w:color="auto"/>
                    <w:left w:val="none" w:sz="0" w:space="0" w:color="auto"/>
                    <w:bottom w:val="none" w:sz="0" w:space="0" w:color="auto"/>
                    <w:right w:val="none" w:sz="0" w:space="0" w:color="auto"/>
                  </w:divBdr>
                </w:div>
              </w:divsChild>
            </w:div>
            <w:div w:id="1478494232">
              <w:marLeft w:val="0"/>
              <w:marRight w:val="0"/>
              <w:marTop w:val="0"/>
              <w:marBottom w:val="0"/>
              <w:divBdr>
                <w:top w:val="none" w:sz="0" w:space="0" w:color="auto"/>
                <w:left w:val="none" w:sz="0" w:space="0" w:color="auto"/>
                <w:bottom w:val="none" w:sz="0" w:space="0" w:color="auto"/>
                <w:right w:val="none" w:sz="0" w:space="0" w:color="auto"/>
              </w:divBdr>
            </w:div>
            <w:div w:id="1741099018">
              <w:marLeft w:val="0"/>
              <w:marRight w:val="0"/>
              <w:marTop w:val="0"/>
              <w:marBottom w:val="0"/>
              <w:divBdr>
                <w:top w:val="none" w:sz="0" w:space="0" w:color="auto"/>
                <w:left w:val="none" w:sz="0" w:space="0" w:color="auto"/>
                <w:bottom w:val="none" w:sz="0" w:space="0" w:color="auto"/>
                <w:right w:val="none" w:sz="0" w:space="0" w:color="auto"/>
              </w:divBdr>
            </w:div>
            <w:div w:id="1799058409">
              <w:marLeft w:val="0"/>
              <w:marRight w:val="0"/>
              <w:marTop w:val="0"/>
              <w:marBottom w:val="0"/>
              <w:divBdr>
                <w:top w:val="none" w:sz="0" w:space="0" w:color="auto"/>
                <w:left w:val="none" w:sz="0" w:space="0" w:color="auto"/>
                <w:bottom w:val="none" w:sz="0" w:space="0" w:color="auto"/>
                <w:right w:val="none" w:sz="0" w:space="0" w:color="auto"/>
              </w:divBdr>
            </w:div>
            <w:div w:id="1815104835">
              <w:marLeft w:val="0"/>
              <w:marRight w:val="0"/>
              <w:marTop w:val="0"/>
              <w:marBottom w:val="0"/>
              <w:divBdr>
                <w:top w:val="none" w:sz="0" w:space="0" w:color="auto"/>
                <w:left w:val="none" w:sz="0" w:space="0" w:color="auto"/>
                <w:bottom w:val="none" w:sz="0" w:space="0" w:color="auto"/>
                <w:right w:val="none" w:sz="0" w:space="0" w:color="auto"/>
              </w:divBdr>
            </w:div>
            <w:div w:id="1993560265">
              <w:marLeft w:val="0"/>
              <w:marRight w:val="0"/>
              <w:marTop w:val="0"/>
              <w:marBottom w:val="0"/>
              <w:divBdr>
                <w:top w:val="none" w:sz="0" w:space="0" w:color="auto"/>
                <w:left w:val="none" w:sz="0" w:space="0" w:color="auto"/>
                <w:bottom w:val="none" w:sz="0" w:space="0" w:color="auto"/>
                <w:right w:val="none" w:sz="0" w:space="0" w:color="auto"/>
              </w:divBdr>
              <w:divsChild>
                <w:div w:id="1793011885">
                  <w:marLeft w:val="0"/>
                  <w:marRight w:val="0"/>
                  <w:marTop w:val="0"/>
                  <w:marBottom w:val="0"/>
                  <w:divBdr>
                    <w:top w:val="none" w:sz="0" w:space="0" w:color="auto"/>
                    <w:left w:val="none" w:sz="0" w:space="0" w:color="auto"/>
                    <w:bottom w:val="none" w:sz="0" w:space="0" w:color="auto"/>
                    <w:right w:val="none" w:sz="0" w:space="0" w:color="auto"/>
                  </w:divBdr>
                </w:div>
              </w:divsChild>
            </w:div>
            <w:div w:id="2126732258">
              <w:marLeft w:val="0"/>
              <w:marRight w:val="0"/>
              <w:marTop w:val="0"/>
              <w:marBottom w:val="0"/>
              <w:divBdr>
                <w:top w:val="none" w:sz="0" w:space="0" w:color="auto"/>
                <w:left w:val="none" w:sz="0" w:space="0" w:color="auto"/>
                <w:bottom w:val="none" w:sz="0" w:space="0" w:color="auto"/>
                <w:right w:val="none" w:sz="0" w:space="0" w:color="auto"/>
              </w:divBdr>
              <w:divsChild>
                <w:div w:id="13671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9873">
      <w:bodyDiv w:val="1"/>
      <w:marLeft w:val="0"/>
      <w:marRight w:val="0"/>
      <w:marTop w:val="0"/>
      <w:marBottom w:val="0"/>
      <w:divBdr>
        <w:top w:val="none" w:sz="0" w:space="0" w:color="auto"/>
        <w:left w:val="none" w:sz="0" w:space="0" w:color="auto"/>
        <w:bottom w:val="none" w:sz="0" w:space="0" w:color="auto"/>
        <w:right w:val="none" w:sz="0" w:space="0" w:color="auto"/>
      </w:divBdr>
    </w:div>
    <w:div w:id="142621052">
      <w:bodyDiv w:val="1"/>
      <w:marLeft w:val="0"/>
      <w:marRight w:val="0"/>
      <w:marTop w:val="0"/>
      <w:marBottom w:val="0"/>
      <w:divBdr>
        <w:top w:val="none" w:sz="0" w:space="0" w:color="auto"/>
        <w:left w:val="none" w:sz="0" w:space="0" w:color="auto"/>
        <w:bottom w:val="none" w:sz="0" w:space="0" w:color="auto"/>
        <w:right w:val="none" w:sz="0" w:space="0" w:color="auto"/>
      </w:divBdr>
    </w:div>
    <w:div w:id="200410626">
      <w:bodyDiv w:val="1"/>
      <w:marLeft w:val="0"/>
      <w:marRight w:val="0"/>
      <w:marTop w:val="0"/>
      <w:marBottom w:val="0"/>
      <w:divBdr>
        <w:top w:val="none" w:sz="0" w:space="0" w:color="auto"/>
        <w:left w:val="none" w:sz="0" w:space="0" w:color="auto"/>
        <w:bottom w:val="none" w:sz="0" w:space="0" w:color="auto"/>
        <w:right w:val="none" w:sz="0" w:space="0" w:color="auto"/>
      </w:divBdr>
      <w:divsChild>
        <w:div w:id="2067414718">
          <w:marLeft w:val="0"/>
          <w:marRight w:val="0"/>
          <w:marTop w:val="0"/>
          <w:marBottom w:val="0"/>
          <w:divBdr>
            <w:top w:val="none" w:sz="0" w:space="0" w:color="auto"/>
            <w:left w:val="none" w:sz="0" w:space="0" w:color="auto"/>
            <w:bottom w:val="none" w:sz="0" w:space="0" w:color="auto"/>
            <w:right w:val="none" w:sz="0" w:space="0" w:color="auto"/>
          </w:divBdr>
          <w:divsChild>
            <w:div w:id="232357760">
              <w:marLeft w:val="0"/>
              <w:marRight w:val="0"/>
              <w:marTop w:val="0"/>
              <w:marBottom w:val="0"/>
              <w:divBdr>
                <w:top w:val="none" w:sz="0" w:space="0" w:color="auto"/>
                <w:left w:val="none" w:sz="0" w:space="0" w:color="auto"/>
                <w:bottom w:val="none" w:sz="0" w:space="0" w:color="auto"/>
                <w:right w:val="none" w:sz="0" w:space="0" w:color="auto"/>
              </w:divBdr>
              <w:divsChild>
                <w:div w:id="8438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9316">
      <w:bodyDiv w:val="1"/>
      <w:marLeft w:val="0"/>
      <w:marRight w:val="0"/>
      <w:marTop w:val="0"/>
      <w:marBottom w:val="0"/>
      <w:divBdr>
        <w:top w:val="none" w:sz="0" w:space="0" w:color="auto"/>
        <w:left w:val="none" w:sz="0" w:space="0" w:color="auto"/>
        <w:bottom w:val="none" w:sz="0" w:space="0" w:color="auto"/>
        <w:right w:val="none" w:sz="0" w:space="0" w:color="auto"/>
      </w:divBdr>
    </w:div>
    <w:div w:id="323822502">
      <w:bodyDiv w:val="1"/>
      <w:marLeft w:val="0"/>
      <w:marRight w:val="0"/>
      <w:marTop w:val="0"/>
      <w:marBottom w:val="0"/>
      <w:divBdr>
        <w:top w:val="none" w:sz="0" w:space="0" w:color="auto"/>
        <w:left w:val="none" w:sz="0" w:space="0" w:color="auto"/>
        <w:bottom w:val="none" w:sz="0" w:space="0" w:color="auto"/>
        <w:right w:val="none" w:sz="0" w:space="0" w:color="auto"/>
      </w:divBdr>
    </w:div>
    <w:div w:id="445736663">
      <w:bodyDiv w:val="1"/>
      <w:marLeft w:val="0"/>
      <w:marRight w:val="0"/>
      <w:marTop w:val="0"/>
      <w:marBottom w:val="0"/>
      <w:divBdr>
        <w:top w:val="none" w:sz="0" w:space="0" w:color="auto"/>
        <w:left w:val="none" w:sz="0" w:space="0" w:color="auto"/>
        <w:bottom w:val="none" w:sz="0" w:space="0" w:color="auto"/>
        <w:right w:val="none" w:sz="0" w:space="0" w:color="auto"/>
      </w:divBdr>
    </w:div>
    <w:div w:id="583341211">
      <w:bodyDiv w:val="1"/>
      <w:marLeft w:val="0"/>
      <w:marRight w:val="0"/>
      <w:marTop w:val="0"/>
      <w:marBottom w:val="0"/>
      <w:divBdr>
        <w:top w:val="none" w:sz="0" w:space="0" w:color="auto"/>
        <w:left w:val="none" w:sz="0" w:space="0" w:color="auto"/>
        <w:bottom w:val="none" w:sz="0" w:space="0" w:color="auto"/>
        <w:right w:val="none" w:sz="0" w:space="0" w:color="auto"/>
      </w:divBdr>
    </w:div>
    <w:div w:id="695887299">
      <w:bodyDiv w:val="1"/>
      <w:marLeft w:val="0"/>
      <w:marRight w:val="0"/>
      <w:marTop w:val="0"/>
      <w:marBottom w:val="0"/>
      <w:divBdr>
        <w:top w:val="none" w:sz="0" w:space="0" w:color="auto"/>
        <w:left w:val="none" w:sz="0" w:space="0" w:color="auto"/>
        <w:bottom w:val="none" w:sz="0" w:space="0" w:color="auto"/>
        <w:right w:val="none" w:sz="0" w:space="0" w:color="auto"/>
      </w:divBdr>
    </w:div>
    <w:div w:id="734354479">
      <w:bodyDiv w:val="1"/>
      <w:marLeft w:val="0"/>
      <w:marRight w:val="0"/>
      <w:marTop w:val="0"/>
      <w:marBottom w:val="0"/>
      <w:divBdr>
        <w:top w:val="none" w:sz="0" w:space="0" w:color="auto"/>
        <w:left w:val="none" w:sz="0" w:space="0" w:color="auto"/>
        <w:bottom w:val="none" w:sz="0" w:space="0" w:color="auto"/>
        <w:right w:val="none" w:sz="0" w:space="0" w:color="auto"/>
      </w:divBdr>
    </w:div>
    <w:div w:id="890071691">
      <w:bodyDiv w:val="1"/>
      <w:marLeft w:val="0"/>
      <w:marRight w:val="0"/>
      <w:marTop w:val="0"/>
      <w:marBottom w:val="0"/>
      <w:divBdr>
        <w:top w:val="none" w:sz="0" w:space="0" w:color="auto"/>
        <w:left w:val="none" w:sz="0" w:space="0" w:color="auto"/>
        <w:bottom w:val="none" w:sz="0" w:space="0" w:color="auto"/>
        <w:right w:val="none" w:sz="0" w:space="0" w:color="auto"/>
      </w:divBdr>
    </w:div>
    <w:div w:id="920527887">
      <w:bodyDiv w:val="1"/>
      <w:marLeft w:val="0"/>
      <w:marRight w:val="0"/>
      <w:marTop w:val="0"/>
      <w:marBottom w:val="0"/>
      <w:divBdr>
        <w:top w:val="none" w:sz="0" w:space="0" w:color="auto"/>
        <w:left w:val="none" w:sz="0" w:space="0" w:color="auto"/>
        <w:bottom w:val="none" w:sz="0" w:space="0" w:color="auto"/>
        <w:right w:val="none" w:sz="0" w:space="0" w:color="auto"/>
      </w:divBdr>
    </w:div>
    <w:div w:id="1261839712">
      <w:bodyDiv w:val="1"/>
      <w:marLeft w:val="0"/>
      <w:marRight w:val="0"/>
      <w:marTop w:val="0"/>
      <w:marBottom w:val="0"/>
      <w:divBdr>
        <w:top w:val="none" w:sz="0" w:space="0" w:color="auto"/>
        <w:left w:val="none" w:sz="0" w:space="0" w:color="auto"/>
        <w:bottom w:val="none" w:sz="0" w:space="0" w:color="auto"/>
        <w:right w:val="none" w:sz="0" w:space="0" w:color="auto"/>
      </w:divBdr>
    </w:div>
    <w:div w:id="1317103988">
      <w:bodyDiv w:val="1"/>
      <w:marLeft w:val="0"/>
      <w:marRight w:val="0"/>
      <w:marTop w:val="0"/>
      <w:marBottom w:val="0"/>
      <w:divBdr>
        <w:top w:val="none" w:sz="0" w:space="0" w:color="auto"/>
        <w:left w:val="none" w:sz="0" w:space="0" w:color="auto"/>
        <w:bottom w:val="none" w:sz="0" w:space="0" w:color="auto"/>
        <w:right w:val="none" w:sz="0" w:space="0" w:color="auto"/>
      </w:divBdr>
      <w:divsChild>
        <w:div w:id="1670324729">
          <w:marLeft w:val="0"/>
          <w:marRight w:val="0"/>
          <w:marTop w:val="0"/>
          <w:marBottom w:val="0"/>
          <w:divBdr>
            <w:top w:val="none" w:sz="0" w:space="0" w:color="auto"/>
            <w:left w:val="none" w:sz="0" w:space="0" w:color="auto"/>
            <w:bottom w:val="none" w:sz="0" w:space="0" w:color="auto"/>
            <w:right w:val="none" w:sz="0" w:space="0" w:color="auto"/>
          </w:divBdr>
          <w:divsChild>
            <w:div w:id="1030834390">
              <w:marLeft w:val="0"/>
              <w:marRight w:val="0"/>
              <w:marTop w:val="0"/>
              <w:marBottom w:val="0"/>
              <w:divBdr>
                <w:top w:val="none" w:sz="0" w:space="0" w:color="auto"/>
                <w:left w:val="none" w:sz="0" w:space="0" w:color="auto"/>
                <w:bottom w:val="none" w:sz="0" w:space="0" w:color="auto"/>
                <w:right w:val="none" w:sz="0" w:space="0" w:color="auto"/>
              </w:divBdr>
              <w:divsChild>
                <w:div w:id="18920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10192">
      <w:bodyDiv w:val="1"/>
      <w:marLeft w:val="0"/>
      <w:marRight w:val="0"/>
      <w:marTop w:val="0"/>
      <w:marBottom w:val="0"/>
      <w:divBdr>
        <w:top w:val="none" w:sz="0" w:space="0" w:color="auto"/>
        <w:left w:val="none" w:sz="0" w:space="0" w:color="auto"/>
        <w:bottom w:val="none" w:sz="0" w:space="0" w:color="auto"/>
        <w:right w:val="none" w:sz="0" w:space="0" w:color="auto"/>
      </w:divBdr>
    </w:div>
    <w:div w:id="1462503576">
      <w:bodyDiv w:val="1"/>
      <w:marLeft w:val="0"/>
      <w:marRight w:val="0"/>
      <w:marTop w:val="0"/>
      <w:marBottom w:val="0"/>
      <w:divBdr>
        <w:top w:val="none" w:sz="0" w:space="0" w:color="auto"/>
        <w:left w:val="none" w:sz="0" w:space="0" w:color="auto"/>
        <w:bottom w:val="none" w:sz="0" w:space="0" w:color="auto"/>
        <w:right w:val="none" w:sz="0" w:space="0" w:color="auto"/>
      </w:divBdr>
    </w:div>
    <w:div w:id="1493640537">
      <w:bodyDiv w:val="1"/>
      <w:marLeft w:val="0"/>
      <w:marRight w:val="0"/>
      <w:marTop w:val="0"/>
      <w:marBottom w:val="0"/>
      <w:divBdr>
        <w:top w:val="none" w:sz="0" w:space="0" w:color="auto"/>
        <w:left w:val="none" w:sz="0" w:space="0" w:color="auto"/>
        <w:bottom w:val="none" w:sz="0" w:space="0" w:color="auto"/>
        <w:right w:val="none" w:sz="0" w:space="0" w:color="auto"/>
      </w:divBdr>
    </w:div>
    <w:div w:id="1807813406">
      <w:bodyDiv w:val="1"/>
      <w:marLeft w:val="0"/>
      <w:marRight w:val="0"/>
      <w:marTop w:val="0"/>
      <w:marBottom w:val="0"/>
      <w:divBdr>
        <w:top w:val="none" w:sz="0" w:space="0" w:color="auto"/>
        <w:left w:val="none" w:sz="0" w:space="0" w:color="auto"/>
        <w:bottom w:val="none" w:sz="0" w:space="0" w:color="auto"/>
        <w:right w:val="none" w:sz="0" w:space="0" w:color="auto"/>
      </w:divBdr>
    </w:div>
    <w:div w:id="1843356990">
      <w:bodyDiv w:val="1"/>
      <w:marLeft w:val="0"/>
      <w:marRight w:val="0"/>
      <w:marTop w:val="0"/>
      <w:marBottom w:val="0"/>
      <w:divBdr>
        <w:top w:val="none" w:sz="0" w:space="0" w:color="auto"/>
        <w:left w:val="none" w:sz="0" w:space="0" w:color="auto"/>
        <w:bottom w:val="none" w:sz="0" w:space="0" w:color="auto"/>
        <w:right w:val="none" w:sz="0" w:space="0" w:color="auto"/>
      </w:divBdr>
      <w:divsChild>
        <w:div w:id="743723767">
          <w:marLeft w:val="0"/>
          <w:marRight w:val="0"/>
          <w:marTop w:val="0"/>
          <w:marBottom w:val="0"/>
          <w:divBdr>
            <w:top w:val="none" w:sz="0" w:space="0" w:color="auto"/>
            <w:left w:val="none" w:sz="0" w:space="0" w:color="auto"/>
            <w:bottom w:val="none" w:sz="0" w:space="0" w:color="auto"/>
            <w:right w:val="none" w:sz="0" w:space="0" w:color="auto"/>
          </w:divBdr>
          <w:divsChild>
            <w:div w:id="1397776722">
              <w:marLeft w:val="0"/>
              <w:marRight w:val="0"/>
              <w:marTop w:val="0"/>
              <w:marBottom w:val="0"/>
              <w:divBdr>
                <w:top w:val="none" w:sz="0" w:space="0" w:color="auto"/>
                <w:left w:val="none" w:sz="0" w:space="0" w:color="auto"/>
                <w:bottom w:val="none" w:sz="0" w:space="0" w:color="auto"/>
                <w:right w:val="none" w:sz="0" w:space="0" w:color="auto"/>
              </w:divBdr>
              <w:divsChild>
                <w:div w:id="1640841479">
                  <w:marLeft w:val="0"/>
                  <w:marRight w:val="0"/>
                  <w:marTop w:val="0"/>
                  <w:marBottom w:val="0"/>
                  <w:divBdr>
                    <w:top w:val="none" w:sz="0" w:space="0" w:color="auto"/>
                    <w:left w:val="none" w:sz="0" w:space="0" w:color="auto"/>
                    <w:bottom w:val="none" w:sz="0" w:space="0" w:color="auto"/>
                    <w:right w:val="none" w:sz="0" w:space="0" w:color="auto"/>
                  </w:divBdr>
                  <w:divsChild>
                    <w:div w:id="19316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5863">
      <w:bodyDiv w:val="1"/>
      <w:marLeft w:val="0"/>
      <w:marRight w:val="0"/>
      <w:marTop w:val="0"/>
      <w:marBottom w:val="0"/>
      <w:divBdr>
        <w:top w:val="none" w:sz="0" w:space="0" w:color="auto"/>
        <w:left w:val="none" w:sz="0" w:space="0" w:color="auto"/>
        <w:bottom w:val="none" w:sz="0" w:space="0" w:color="auto"/>
        <w:right w:val="none" w:sz="0" w:space="0" w:color="auto"/>
      </w:divBdr>
      <w:divsChild>
        <w:div w:id="463622283">
          <w:marLeft w:val="1080"/>
          <w:marRight w:val="0"/>
          <w:marTop w:val="200"/>
          <w:marBottom w:val="0"/>
          <w:divBdr>
            <w:top w:val="none" w:sz="0" w:space="0" w:color="auto"/>
            <w:left w:val="none" w:sz="0" w:space="0" w:color="auto"/>
            <w:bottom w:val="none" w:sz="0" w:space="0" w:color="auto"/>
            <w:right w:val="none" w:sz="0" w:space="0" w:color="auto"/>
          </w:divBdr>
        </w:div>
      </w:divsChild>
    </w:div>
    <w:div w:id="2114130282">
      <w:bodyDiv w:val="1"/>
      <w:marLeft w:val="0"/>
      <w:marRight w:val="0"/>
      <w:marTop w:val="0"/>
      <w:marBottom w:val="0"/>
      <w:divBdr>
        <w:top w:val="none" w:sz="0" w:space="0" w:color="auto"/>
        <w:left w:val="none" w:sz="0" w:space="0" w:color="auto"/>
        <w:bottom w:val="none" w:sz="0" w:space="0" w:color="auto"/>
        <w:right w:val="none" w:sz="0" w:space="0" w:color="auto"/>
      </w:divBdr>
    </w:div>
    <w:div w:id="21142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asiandevbank.sharepoint.com/:w:/r/teams/org_iau/FinalDocs/Templates/02%20Linked%20Documents/RRP%20Development%20Coordination.docx?d=wd99c8fe3b9ba40f799accd061a61ceaa&amp;csf=1&amp;e=pRtyxB"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yperlink" Target="https://asiandevbank.sharepoint.com/:w:/r/teams/org_iau/FinalDocs/Templates/02%20Linked%20Documents/RRP%20SPRSS.docx?d=wa51092d5420848d698aa4f27f4025ab3&amp;csf=1&amp;e=kczH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topcov.ge" TargetMode="External"/><Relationship Id="rId28" Type="http://schemas.openxmlformats.org/officeDocument/2006/relationships/hyperlink" Target="https://asiandevbank.sharepoint.com/:w:/r/teams/org_iau/FinalDocs/Templates/02%20Linked%20Documents/RRP%20IMF%20Assessment%20Letter.docx?d=w1c29c2a2115346d1a89e6c3ac7e2e8e9&amp;csf=1&amp;e=aLjUVh" TargetMode="Externa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asiandevbank.sharepoint.com/:w:/r/teams/org_iau/FinalDocs/Templates/02%20Linked%20Documents/RRP%20List%20of%20Ineligible%20Items.docx?d=wa7ddc811bb784c61b76e8e7e6c82bec4&amp;csf=1&amp;e=1XXJ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asiandevbank.sharepoint.com/:w:/r/teams/org_iau/FinalDocs/Templates/02%20Linked%20Documents/RRP%20Country%20Economic%20Indicators.docx?d=wfdd38b3eb6734c31ba1d1ab86f1f458d&amp;csf=1&amp;e=IiaQO0" TargetMode="External"/><Relationship Id="rId30" Type="http://schemas.openxmlformats.org/officeDocument/2006/relationships/hyperlink" Target="https://asiandevbank.sharepoint.com/:w:/r/teams/org_iau/FinalDocs/Templates/02%20Linked%20Documents/RRP%20Risk%20Assessment%20and%20Risk%20Management%20Plan.docx?d=wd562f74c7c3748eba36df39c6286b61b&amp;csf=1&amp;e=FgG40g" TargetMode="External"/><Relationship Id="rId35" Type="http://schemas.openxmlformats.org/officeDocument/2006/relationships/header" Target="header1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apps.who.int/gho/data/node.main.HS07?lang=en" TargetMode="External"/><Relationship Id="rId13" Type="http://schemas.openxmlformats.org/officeDocument/2006/relationships/hyperlink" Target="https://www.geostat.ge/en/modules/categories/192/living-conditions" TargetMode="External"/><Relationship Id="rId18" Type="http://schemas.openxmlformats.org/officeDocument/2006/relationships/hyperlink" Target="https://www.geostat.ge/media/21016/W%26M-in-ENG_2017.pdf" TargetMode="External"/><Relationship Id="rId3" Type="http://schemas.openxmlformats.org/officeDocument/2006/relationships/hyperlink" Target="https://www.who.int/emergencies/diseases/novel-coronavirus-2019/situation-reports" TargetMode="External"/><Relationship Id="rId7" Type="http://schemas.openxmlformats.org/officeDocument/2006/relationships/hyperlink" Target="https://apps.who.int/gho/data/node.main.HWFGRP_0020?lang=en" TargetMode="External"/><Relationship Id="rId12" Type="http://schemas.openxmlformats.org/officeDocument/2006/relationships/hyperlink" Target="https://analytics.nbg.gov.ge/views/MoneyTransfers/MonayTransfersYoYGrowthRate?iframeSizedToWindow=true&amp;%3Aembed=y&amp;%3AshowAppBanner=false&amp;%3Adisplay_count=no&amp;%3AshowVizHome=no" TargetMode="External"/><Relationship Id="rId17" Type="http://schemas.openxmlformats.org/officeDocument/2006/relationships/hyperlink" Target="https://www.geostat.ge/en/modules/categories/297/food-security" TargetMode="External"/><Relationship Id="rId2" Type="http://schemas.openxmlformats.org/officeDocument/2006/relationships/hyperlink" Target="https://www.geostat.ge/en/modules/categories/316/population-and-demography" TargetMode="External"/><Relationship Id="rId16" Type="http://schemas.openxmlformats.org/officeDocument/2006/relationships/hyperlink" Target="https://www.moh.gov.ge/en/news/5066/" TargetMode="External"/><Relationship Id="rId20" Type="http://schemas.openxmlformats.org/officeDocument/2006/relationships/hyperlink" Target="https://www.carecprogram.org/?page_id=13243" TargetMode="External"/><Relationship Id="rId1" Type="http://schemas.openxmlformats.org/officeDocument/2006/relationships/hyperlink" Target="https://coronavirus.jhu.edu/map.html" TargetMode="External"/><Relationship Id="rId6" Type="http://schemas.openxmlformats.org/officeDocument/2006/relationships/hyperlink" Target="https://www.ghsindex.org/" TargetMode="External"/><Relationship Id="rId11" Type="http://schemas.openxmlformats.org/officeDocument/2006/relationships/hyperlink" Target="https://www.e-nwto.org/doi/pdf/10.5555/unwtotfb0268010020142018201911" TargetMode="External"/><Relationship Id="rId5" Type="http://schemas.openxmlformats.org/officeDocument/2006/relationships/hyperlink" Target="https://www.imperial.ac.uk/media/imperial-college/medicine/sph/ide/gida-fellowships/Imperial-College-COVID19-Global-Impact-26-03-2020.pdf" TargetMode="External"/><Relationship Id="rId15" Type="http://schemas.openxmlformats.org/officeDocument/2006/relationships/hyperlink" Target="https://www.geostat.ge/en/modules/categories/38/employment-and-unemployment" TargetMode="External"/><Relationship Id="rId10" Type="http://schemas.openxmlformats.org/officeDocument/2006/relationships/hyperlink" Target="https://gnta.ge/statistics/" TargetMode="External"/><Relationship Id="rId19" Type="http://schemas.openxmlformats.org/officeDocument/2006/relationships/hyperlink" Target="http://gender.geostat.ge/gender/index.php?action=Business%20Statistics" TargetMode="External"/><Relationship Id="rId4" Type="http://schemas.openxmlformats.org/officeDocument/2006/relationships/hyperlink" Target="https://stopcov.ge" TargetMode="External"/><Relationship Id="rId9" Type="http://schemas.openxmlformats.org/officeDocument/2006/relationships/hyperlink" Target="https://www.geostat.ge/media/27546/W%26M-ENG_2019.pdf" TargetMode="External"/><Relationship Id="rId14" Type="http://schemas.openxmlformats.org/officeDocument/2006/relationships/hyperlink" Target="https://www.geostat.ge/en/modules/categories/39/w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6AC2EA9E9A4448B9434B3A99D2FDA" ma:contentTypeVersion="16" ma:contentTypeDescription="Create a new document." ma:contentTypeScope="" ma:versionID="40343503643e973ec06679deb1d4ed77">
  <xsd:schema xmlns:xsd="http://www.w3.org/2001/XMLSchema" xmlns:xs="http://www.w3.org/2001/XMLSchema" xmlns:p="http://schemas.microsoft.com/office/2006/metadata/properties" xmlns:ns2="c1fdd505-2570-46c2-bd04-3e0f2d874cf5" xmlns:ns3="290cdaa3-c638-499a-8e5b-01a05382d52d" targetNamespace="http://schemas.microsoft.com/office/2006/metadata/properties" ma:root="true" ma:fieldsID="0d21492cafe8cb71485685379e1eb69b" ns2:_="" ns3:_="">
    <xsd:import namespace="c1fdd505-2570-46c2-bd04-3e0f2d874cf5"/>
    <xsd:import namespace="290cdaa3-c638-499a-8e5b-01a05382d52d"/>
    <xsd:element name="properties">
      <xsd:complexType>
        <xsd:sequence>
          <xsd:element name="documentManagement">
            <xsd:complexType>
              <xsd:all>
                <xsd:element ref="ns2:j78542b1fffc4a1c84659474212e3133" minOccurs="0"/>
                <xsd:element ref="ns3:Update_x0020_ADB_x0020_Project_x0020_Document_x0020_Typ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daa3-c638-499a-8e5b-01a05382d52d" elementFormDefault="qualified">
    <xsd:import namespace="http://schemas.microsoft.com/office/2006/documentManagement/types"/>
    <xsd:import namespace="http://schemas.microsoft.com/office/infopath/2007/PartnerControls"/>
    <xsd:element name="Update_x0020_ADB_x0020_Project_x0020_Document_x0020_Type" ma:index="10" nillable="true" ma:displayName="Update ADB Project Document Type" ma:internalName="Update_x0020_ADB_x0020_Project_x0020_Document_x0020_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1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_Flow_SignoffStatus xmlns="290cdaa3-c638-499a-8e5b-01a05382d52d" xsi:nil="true"/>
    <Update_x0020_ADB_x0020_Project_x0020_Document_x0020_Type xmlns="290cdaa3-c638-499a-8e5b-01a05382d52d">
      <Url xsi:nil="true"/>
      <Description xsi:nil="true"/>
    </Update_x0020_ADB_x0020_Project_x0020_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2434-26E8-40A8-8474-4F0015A5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290cdaa3-c638-499a-8e5b-01a05382d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EAE70-F70E-4F47-963B-11EBA5E88138}">
  <ds:schemaRefs>
    <ds:schemaRef ds:uri="http://schemas.microsoft.com/office/2006/metadata/properties"/>
    <ds:schemaRef ds:uri="http://schemas.microsoft.com/office/infopath/2007/PartnerControls"/>
    <ds:schemaRef ds:uri="c1fdd505-2570-46c2-bd04-3e0f2d874cf5"/>
    <ds:schemaRef ds:uri="290cdaa3-c638-499a-8e5b-01a05382d52d"/>
  </ds:schemaRefs>
</ds:datastoreItem>
</file>

<file path=customXml/itemProps3.xml><?xml version="1.0" encoding="utf-8"?>
<ds:datastoreItem xmlns:ds="http://schemas.openxmlformats.org/officeDocument/2006/customXml" ds:itemID="{A2A66697-FA10-4D1D-B60E-5416C8E44EFE}">
  <ds:schemaRefs>
    <ds:schemaRef ds:uri="http://schemas.microsoft.com/sharepoint/v3/contenttype/forms"/>
  </ds:schemaRefs>
</ds:datastoreItem>
</file>

<file path=customXml/itemProps4.xml><?xml version="1.0" encoding="utf-8"?>
<ds:datastoreItem xmlns:ds="http://schemas.openxmlformats.org/officeDocument/2006/customXml" ds:itemID="{7C56B0AB-5DCC-4613-BC33-240E36EF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11518</Words>
  <Characters>65658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RRP Policy-Based Lending</vt:lpstr>
    </vt:vector>
  </TitlesOfParts>
  <Company>Licenced User</Company>
  <LinksUpToDate>false</LinksUpToDate>
  <CharactersWithSpaces>77022</CharactersWithSpaces>
  <SharedDoc>false</SharedDoc>
  <HLinks>
    <vt:vector size="276" baseType="variant">
      <vt:variant>
        <vt:i4>4063298</vt:i4>
      </vt:variant>
      <vt:variant>
        <vt:i4>129</vt:i4>
      </vt:variant>
      <vt:variant>
        <vt:i4>0</vt:i4>
      </vt:variant>
      <vt:variant>
        <vt:i4>5</vt:i4>
      </vt:variant>
      <vt:variant>
        <vt:lpwstr>https://asiandevbank.sharepoint.com/:w:/r/teams/org_iau/FinalDocs/Templates/02 Linked Documents/RRP List of Ineligible Items.docx?d=wa7ddc811bb784c61b76e8e7e6c82bec4&amp;csf=1&amp;e=1XXJAL</vt:lpwstr>
      </vt:variant>
      <vt:variant>
        <vt:lpwstr/>
      </vt:variant>
      <vt:variant>
        <vt:i4>2490437</vt:i4>
      </vt:variant>
      <vt:variant>
        <vt:i4>126</vt:i4>
      </vt:variant>
      <vt:variant>
        <vt:i4>0</vt:i4>
      </vt:variant>
      <vt:variant>
        <vt:i4>5</vt:i4>
      </vt:variant>
      <vt:variant>
        <vt:lpwstr>https://asiandevbank.sharepoint.com/:w:/r/teams/org_iau/FinalDocs/Templates/02 Linked Documents/RRP Risk Assessment and Risk Management Plan.docx?d=wd562f74c7c3748eba36df39c6286b61b&amp;csf=1&amp;e=FgG40g</vt:lpwstr>
      </vt:variant>
      <vt:variant>
        <vt:lpwstr/>
      </vt:variant>
      <vt:variant>
        <vt:i4>7667736</vt:i4>
      </vt:variant>
      <vt:variant>
        <vt:i4>123</vt:i4>
      </vt:variant>
      <vt:variant>
        <vt:i4>0</vt:i4>
      </vt:variant>
      <vt:variant>
        <vt:i4>5</vt:i4>
      </vt:variant>
      <vt:variant>
        <vt:lpwstr>https://asiandevbank.sharepoint.com/:w:/r/teams/org_iau/FinalDocs/Templates/02 Linked Documents/RRP SPRSS.docx?d=wa51092d5420848d698aa4f27f4025ab3&amp;csf=1&amp;e=kczHkS</vt:lpwstr>
      </vt:variant>
      <vt:variant>
        <vt:lpwstr/>
      </vt:variant>
      <vt:variant>
        <vt:i4>7012446</vt:i4>
      </vt:variant>
      <vt:variant>
        <vt:i4>120</vt:i4>
      </vt:variant>
      <vt:variant>
        <vt:i4>0</vt:i4>
      </vt:variant>
      <vt:variant>
        <vt:i4>5</vt:i4>
      </vt:variant>
      <vt:variant>
        <vt:lpwstr>https://asiandevbank.sharepoint.com/:w:/r/teams/org_iau/FinalDocs/Templates/02 Linked Documents/RRP IMF Assessment Letter.docx?d=w1c29c2a2115346d1a89e6c3ac7e2e8e9&amp;csf=1&amp;e=aLjUVh</vt:lpwstr>
      </vt:variant>
      <vt:variant>
        <vt:lpwstr/>
      </vt:variant>
      <vt:variant>
        <vt:i4>196706</vt:i4>
      </vt:variant>
      <vt:variant>
        <vt:i4>117</vt:i4>
      </vt:variant>
      <vt:variant>
        <vt:i4>0</vt:i4>
      </vt:variant>
      <vt:variant>
        <vt:i4>5</vt:i4>
      </vt:variant>
      <vt:variant>
        <vt:lpwstr>https://asiandevbank.sharepoint.com/:w:/r/teams/org_iau/FinalDocs/Templates/02 Linked Documents/RRP Country Economic Indicators.docx?d=wfdd38b3eb6734c31ba1d1ab86f1f458d&amp;csf=1&amp;e=IiaQO0</vt:lpwstr>
      </vt:variant>
      <vt:variant>
        <vt:lpwstr/>
      </vt:variant>
      <vt:variant>
        <vt:i4>3145752</vt:i4>
      </vt:variant>
      <vt:variant>
        <vt:i4>114</vt:i4>
      </vt:variant>
      <vt:variant>
        <vt:i4>0</vt:i4>
      </vt:variant>
      <vt:variant>
        <vt:i4>5</vt:i4>
      </vt:variant>
      <vt:variant>
        <vt:lpwstr>https://asiandevbank.sharepoint.com/:w:/r/teams/org_iau/FinalDocs/Templates/02 Linked Documents/RRP Development Coordination.docx?d=wd99c8fe3b9ba40f799accd061a61ceaa&amp;csf=1&amp;e=pRtyxB</vt:lpwstr>
      </vt:variant>
      <vt:variant>
        <vt:lpwstr/>
      </vt:variant>
      <vt:variant>
        <vt:i4>4063292</vt:i4>
      </vt:variant>
      <vt:variant>
        <vt:i4>111</vt:i4>
      </vt:variant>
      <vt:variant>
        <vt:i4>0</vt:i4>
      </vt:variant>
      <vt:variant>
        <vt:i4>5</vt:i4>
      </vt:variant>
      <vt:variant>
        <vt:lpwstr>http://www.adb.org/Documents/RRPs/?id=54191-001</vt:lpwstr>
      </vt:variant>
      <vt:variant>
        <vt:lpwstr/>
      </vt:variant>
      <vt:variant>
        <vt:i4>6946928</vt:i4>
      </vt:variant>
      <vt:variant>
        <vt:i4>108</vt:i4>
      </vt:variant>
      <vt:variant>
        <vt:i4>0</vt:i4>
      </vt:variant>
      <vt:variant>
        <vt:i4>5</vt:i4>
      </vt:variant>
      <vt:variant>
        <vt:lpwstr>http://www.stopcov.ge/</vt:lpwstr>
      </vt:variant>
      <vt:variant>
        <vt:lpwstr/>
      </vt:variant>
      <vt:variant>
        <vt:i4>1507382</vt:i4>
      </vt:variant>
      <vt:variant>
        <vt:i4>98</vt:i4>
      </vt:variant>
      <vt:variant>
        <vt:i4>0</vt:i4>
      </vt:variant>
      <vt:variant>
        <vt:i4>5</vt:i4>
      </vt:variant>
      <vt:variant>
        <vt:lpwstr/>
      </vt:variant>
      <vt:variant>
        <vt:lpwstr>_Toc39790020</vt:lpwstr>
      </vt:variant>
      <vt:variant>
        <vt:i4>1507382</vt:i4>
      </vt:variant>
      <vt:variant>
        <vt:i4>92</vt:i4>
      </vt:variant>
      <vt:variant>
        <vt:i4>0</vt:i4>
      </vt:variant>
      <vt:variant>
        <vt:i4>5</vt:i4>
      </vt:variant>
      <vt:variant>
        <vt:lpwstr/>
      </vt:variant>
      <vt:variant>
        <vt:lpwstr>_Toc39790020</vt:lpwstr>
      </vt:variant>
      <vt:variant>
        <vt:i4>1966133</vt:i4>
      </vt:variant>
      <vt:variant>
        <vt:i4>86</vt:i4>
      </vt:variant>
      <vt:variant>
        <vt:i4>0</vt:i4>
      </vt:variant>
      <vt:variant>
        <vt:i4>5</vt:i4>
      </vt:variant>
      <vt:variant>
        <vt:lpwstr/>
      </vt:variant>
      <vt:variant>
        <vt:lpwstr>_Toc39790019</vt:lpwstr>
      </vt:variant>
      <vt:variant>
        <vt:i4>2031669</vt:i4>
      </vt:variant>
      <vt:variant>
        <vt:i4>80</vt:i4>
      </vt:variant>
      <vt:variant>
        <vt:i4>0</vt:i4>
      </vt:variant>
      <vt:variant>
        <vt:i4>5</vt:i4>
      </vt:variant>
      <vt:variant>
        <vt:lpwstr/>
      </vt:variant>
      <vt:variant>
        <vt:lpwstr>_Toc39790018</vt:lpwstr>
      </vt:variant>
      <vt:variant>
        <vt:i4>1048629</vt:i4>
      </vt:variant>
      <vt:variant>
        <vt:i4>74</vt:i4>
      </vt:variant>
      <vt:variant>
        <vt:i4>0</vt:i4>
      </vt:variant>
      <vt:variant>
        <vt:i4>5</vt:i4>
      </vt:variant>
      <vt:variant>
        <vt:lpwstr/>
      </vt:variant>
      <vt:variant>
        <vt:lpwstr>_Toc39790017</vt:lpwstr>
      </vt:variant>
      <vt:variant>
        <vt:i4>1114165</vt:i4>
      </vt:variant>
      <vt:variant>
        <vt:i4>68</vt:i4>
      </vt:variant>
      <vt:variant>
        <vt:i4>0</vt:i4>
      </vt:variant>
      <vt:variant>
        <vt:i4>5</vt:i4>
      </vt:variant>
      <vt:variant>
        <vt:lpwstr/>
      </vt:variant>
      <vt:variant>
        <vt:lpwstr>_Toc39790016</vt:lpwstr>
      </vt:variant>
      <vt:variant>
        <vt:i4>1179701</vt:i4>
      </vt:variant>
      <vt:variant>
        <vt:i4>62</vt:i4>
      </vt:variant>
      <vt:variant>
        <vt:i4>0</vt:i4>
      </vt:variant>
      <vt:variant>
        <vt:i4>5</vt:i4>
      </vt:variant>
      <vt:variant>
        <vt:lpwstr/>
      </vt:variant>
      <vt:variant>
        <vt:lpwstr>_Toc39790015</vt:lpwstr>
      </vt:variant>
      <vt:variant>
        <vt:i4>1245237</vt:i4>
      </vt:variant>
      <vt:variant>
        <vt:i4>56</vt:i4>
      </vt:variant>
      <vt:variant>
        <vt:i4>0</vt:i4>
      </vt:variant>
      <vt:variant>
        <vt:i4>5</vt:i4>
      </vt:variant>
      <vt:variant>
        <vt:lpwstr/>
      </vt:variant>
      <vt:variant>
        <vt:lpwstr>_Toc39790014</vt:lpwstr>
      </vt:variant>
      <vt:variant>
        <vt:i4>1310773</vt:i4>
      </vt:variant>
      <vt:variant>
        <vt:i4>50</vt:i4>
      </vt:variant>
      <vt:variant>
        <vt:i4>0</vt:i4>
      </vt:variant>
      <vt:variant>
        <vt:i4>5</vt:i4>
      </vt:variant>
      <vt:variant>
        <vt:lpwstr/>
      </vt:variant>
      <vt:variant>
        <vt:lpwstr>_Toc39790013</vt:lpwstr>
      </vt:variant>
      <vt:variant>
        <vt:i4>1376309</vt:i4>
      </vt:variant>
      <vt:variant>
        <vt:i4>44</vt:i4>
      </vt:variant>
      <vt:variant>
        <vt:i4>0</vt:i4>
      </vt:variant>
      <vt:variant>
        <vt:i4>5</vt:i4>
      </vt:variant>
      <vt:variant>
        <vt:lpwstr/>
      </vt:variant>
      <vt:variant>
        <vt:lpwstr>_Toc39790012</vt:lpwstr>
      </vt:variant>
      <vt:variant>
        <vt:i4>1441845</vt:i4>
      </vt:variant>
      <vt:variant>
        <vt:i4>38</vt:i4>
      </vt:variant>
      <vt:variant>
        <vt:i4>0</vt:i4>
      </vt:variant>
      <vt:variant>
        <vt:i4>5</vt:i4>
      </vt:variant>
      <vt:variant>
        <vt:lpwstr/>
      </vt:variant>
      <vt:variant>
        <vt:lpwstr>_Toc39790011</vt:lpwstr>
      </vt:variant>
      <vt:variant>
        <vt:i4>1507381</vt:i4>
      </vt:variant>
      <vt:variant>
        <vt:i4>32</vt:i4>
      </vt:variant>
      <vt:variant>
        <vt:i4>0</vt:i4>
      </vt:variant>
      <vt:variant>
        <vt:i4>5</vt:i4>
      </vt:variant>
      <vt:variant>
        <vt:lpwstr/>
      </vt:variant>
      <vt:variant>
        <vt:lpwstr>_Toc39790010</vt:lpwstr>
      </vt:variant>
      <vt:variant>
        <vt:i4>1966132</vt:i4>
      </vt:variant>
      <vt:variant>
        <vt:i4>26</vt:i4>
      </vt:variant>
      <vt:variant>
        <vt:i4>0</vt:i4>
      </vt:variant>
      <vt:variant>
        <vt:i4>5</vt:i4>
      </vt:variant>
      <vt:variant>
        <vt:lpwstr/>
      </vt:variant>
      <vt:variant>
        <vt:lpwstr>_Toc39790009</vt:lpwstr>
      </vt:variant>
      <vt:variant>
        <vt:i4>2031668</vt:i4>
      </vt:variant>
      <vt:variant>
        <vt:i4>20</vt:i4>
      </vt:variant>
      <vt:variant>
        <vt:i4>0</vt:i4>
      </vt:variant>
      <vt:variant>
        <vt:i4>5</vt:i4>
      </vt:variant>
      <vt:variant>
        <vt:lpwstr/>
      </vt:variant>
      <vt:variant>
        <vt:lpwstr>_Toc39790008</vt:lpwstr>
      </vt:variant>
      <vt:variant>
        <vt:i4>1048628</vt:i4>
      </vt:variant>
      <vt:variant>
        <vt:i4>14</vt:i4>
      </vt:variant>
      <vt:variant>
        <vt:i4>0</vt:i4>
      </vt:variant>
      <vt:variant>
        <vt:i4>5</vt:i4>
      </vt:variant>
      <vt:variant>
        <vt:lpwstr/>
      </vt:variant>
      <vt:variant>
        <vt:lpwstr>_Toc39790007</vt:lpwstr>
      </vt:variant>
      <vt:variant>
        <vt:i4>1114164</vt:i4>
      </vt:variant>
      <vt:variant>
        <vt:i4>8</vt:i4>
      </vt:variant>
      <vt:variant>
        <vt:i4>0</vt:i4>
      </vt:variant>
      <vt:variant>
        <vt:i4>5</vt:i4>
      </vt:variant>
      <vt:variant>
        <vt:lpwstr/>
      </vt:variant>
      <vt:variant>
        <vt:lpwstr>_Toc39790006</vt:lpwstr>
      </vt:variant>
      <vt:variant>
        <vt:i4>1179700</vt:i4>
      </vt:variant>
      <vt:variant>
        <vt:i4>2</vt:i4>
      </vt:variant>
      <vt:variant>
        <vt:i4>0</vt:i4>
      </vt:variant>
      <vt:variant>
        <vt:i4>5</vt:i4>
      </vt:variant>
      <vt:variant>
        <vt:lpwstr/>
      </vt:variant>
      <vt:variant>
        <vt:lpwstr>_Toc39790005</vt:lpwstr>
      </vt:variant>
      <vt:variant>
        <vt:i4>2883610</vt:i4>
      </vt:variant>
      <vt:variant>
        <vt:i4>60</vt:i4>
      </vt:variant>
      <vt:variant>
        <vt:i4>0</vt:i4>
      </vt:variant>
      <vt:variant>
        <vt:i4>5</vt:i4>
      </vt:variant>
      <vt:variant>
        <vt:lpwstr>https://www.carecprogram.org/?page_id=13243</vt:lpwstr>
      </vt:variant>
      <vt:variant>
        <vt:lpwstr/>
      </vt:variant>
      <vt:variant>
        <vt:i4>7340079</vt:i4>
      </vt:variant>
      <vt:variant>
        <vt:i4>57</vt:i4>
      </vt:variant>
      <vt:variant>
        <vt:i4>0</vt:i4>
      </vt:variant>
      <vt:variant>
        <vt:i4>5</vt:i4>
      </vt:variant>
      <vt:variant>
        <vt:lpwstr>http://gender.geostat.ge/gender/index.php?action=Business%20Statistics</vt:lpwstr>
      </vt:variant>
      <vt:variant>
        <vt:lpwstr/>
      </vt:variant>
      <vt:variant>
        <vt:i4>6553623</vt:i4>
      </vt:variant>
      <vt:variant>
        <vt:i4>54</vt:i4>
      </vt:variant>
      <vt:variant>
        <vt:i4>0</vt:i4>
      </vt:variant>
      <vt:variant>
        <vt:i4>5</vt:i4>
      </vt:variant>
      <vt:variant>
        <vt:lpwstr>https://www.geostat.ge/media/21016/W%26M-in-ENG_2017.pdf</vt:lpwstr>
      </vt:variant>
      <vt:variant>
        <vt:lpwstr/>
      </vt:variant>
      <vt:variant>
        <vt:i4>4063291</vt:i4>
      </vt:variant>
      <vt:variant>
        <vt:i4>51</vt:i4>
      </vt:variant>
      <vt:variant>
        <vt:i4>0</vt:i4>
      </vt:variant>
      <vt:variant>
        <vt:i4>5</vt:i4>
      </vt:variant>
      <vt:variant>
        <vt:lpwstr>https://www.geostat.ge/en/modules/categories/297/food-security</vt:lpwstr>
      </vt:variant>
      <vt:variant>
        <vt:lpwstr/>
      </vt:variant>
      <vt:variant>
        <vt:i4>6094914</vt:i4>
      </vt:variant>
      <vt:variant>
        <vt:i4>48</vt:i4>
      </vt:variant>
      <vt:variant>
        <vt:i4>0</vt:i4>
      </vt:variant>
      <vt:variant>
        <vt:i4>5</vt:i4>
      </vt:variant>
      <vt:variant>
        <vt:lpwstr>https://www.moh.gov.ge/en/news/5066/</vt:lpwstr>
      </vt:variant>
      <vt:variant>
        <vt:lpwstr/>
      </vt:variant>
      <vt:variant>
        <vt:i4>6488172</vt:i4>
      </vt:variant>
      <vt:variant>
        <vt:i4>45</vt:i4>
      </vt:variant>
      <vt:variant>
        <vt:i4>0</vt:i4>
      </vt:variant>
      <vt:variant>
        <vt:i4>5</vt:i4>
      </vt:variant>
      <vt:variant>
        <vt:lpwstr>https://www.geostat.ge/en/modules/categories/38/employment-and-unemployment</vt:lpwstr>
      </vt:variant>
      <vt:variant>
        <vt:lpwstr/>
      </vt:variant>
      <vt:variant>
        <vt:i4>458777</vt:i4>
      </vt:variant>
      <vt:variant>
        <vt:i4>42</vt:i4>
      </vt:variant>
      <vt:variant>
        <vt:i4>0</vt:i4>
      </vt:variant>
      <vt:variant>
        <vt:i4>5</vt:i4>
      </vt:variant>
      <vt:variant>
        <vt:lpwstr>https://www.geostat.ge/en/modules/categories/39/wages</vt:lpwstr>
      </vt:variant>
      <vt:variant>
        <vt:lpwstr/>
      </vt:variant>
      <vt:variant>
        <vt:i4>6488172</vt:i4>
      </vt:variant>
      <vt:variant>
        <vt:i4>39</vt:i4>
      </vt:variant>
      <vt:variant>
        <vt:i4>0</vt:i4>
      </vt:variant>
      <vt:variant>
        <vt:i4>5</vt:i4>
      </vt:variant>
      <vt:variant>
        <vt:lpwstr>https://www.geostat.ge/en/modules/categories/38/employment-and-unemployment</vt:lpwstr>
      </vt:variant>
      <vt:variant>
        <vt:lpwstr/>
      </vt:variant>
      <vt:variant>
        <vt:i4>2490402</vt:i4>
      </vt:variant>
      <vt:variant>
        <vt:i4>36</vt:i4>
      </vt:variant>
      <vt:variant>
        <vt:i4>0</vt:i4>
      </vt:variant>
      <vt:variant>
        <vt:i4>5</vt:i4>
      </vt:variant>
      <vt:variant>
        <vt:lpwstr>https://www.geostat.ge/en/modules/categories/192/living-conditions</vt:lpwstr>
      </vt:variant>
      <vt:variant>
        <vt:lpwstr/>
      </vt:variant>
      <vt:variant>
        <vt:i4>4390964</vt:i4>
      </vt:variant>
      <vt:variant>
        <vt:i4>33</vt:i4>
      </vt:variant>
      <vt:variant>
        <vt:i4>0</vt:i4>
      </vt:variant>
      <vt:variant>
        <vt:i4>5</vt:i4>
      </vt:variant>
      <vt:variant>
        <vt:lpwstr>https://analytics.nbg.gov.ge/views/MoneyTransfers/MonayTransfersYoYGrowthRate?iframeSizedToWindow=true&amp;%3Aembed=y&amp;%3AshowAppBanner=false&amp;%3Adisplay_count=no&amp;%3AshowVizHome=no</vt:lpwstr>
      </vt:variant>
      <vt:variant>
        <vt:lpwstr/>
      </vt:variant>
      <vt:variant>
        <vt:i4>5111898</vt:i4>
      </vt:variant>
      <vt:variant>
        <vt:i4>30</vt:i4>
      </vt:variant>
      <vt:variant>
        <vt:i4>0</vt:i4>
      </vt:variant>
      <vt:variant>
        <vt:i4>5</vt:i4>
      </vt:variant>
      <vt:variant>
        <vt:lpwstr>https://www.e-nwto.org/doi/pdf/10.5555/unwtotfb0268010020142018201911</vt:lpwstr>
      </vt:variant>
      <vt:variant>
        <vt:lpwstr/>
      </vt:variant>
      <vt:variant>
        <vt:i4>4128884</vt:i4>
      </vt:variant>
      <vt:variant>
        <vt:i4>27</vt:i4>
      </vt:variant>
      <vt:variant>
        <vt:i4>0</vt:i4>
      </vt:variant>
      <vt:variant>
        <vt:i4>5</vt:i4>
      </vt:variant>
      <vt:variant>
        <vt:lpwstr>https://gnta.ge/statistics/</vt:lpwstr>
      </vt:variant>
      <vt:variant>
        <vt:lpwstr/>
      </vt:variant>
      <vt:variant>
        <vt:i4>5111929</vt:i4>
      </vt:variant>
      <vt:variant>
        <vt:i4>24</vt:i4>
      </vt:variant>
      <vt:variant>
        <vt:i4>0</vt:i4>
      </vt:variant>
      <vt:variant>
        <vt:i4>5</vt:i4>
      </vt:variant>
      <vt:variant>
        <vt:lpwstr>https://www.geostat.ge/media/27546/W%26M-ENG_2019.pdf</vt:lpwstr>
      </vt:variant>
      <vt:variant>
        <vt:lpwstr/>
      </vt:variant>
      <vt:variant>
        <vt:i4>1376272</vt:i4>
      </vt:variant>
      <vt:variant>
        <vt:i4>21</vt:i4>
      </vt:variant>
      <vt:variant>
        <vt:i4>0</vt:i4>
      </vt:variant>
      <vt:variant>
        <vt:i4>5</vt:i4>
      </vt:variant>
      <vt:variant>
        <vt:lpwstr>https://apps.who.int/gho/data/node.main.HS07?lang=en</vt:lpwstr>
      </vt:variant>
      <vt:variant>
        <vt:lpwstr/>
      </vt:variant>
      <vt:variant>
        <vt:i4>4063240</vt:i4>
      </vt:variant>
      <vt:variant>
        <vt:i4>18</vt:i4>
      </vt:variant>
      <vt:variant>
        <vt:i4>0</vt:i4>
      </vt:variant>
      <vt:variant>
        <vt:i4>5</vt:i4>
      </vt:variant>
      <vt:variant>
        <vt:lpwstr>https://apps.who.int/gho/data/node.main.HWFGRP_0020?lang=en</vt:lpwstr>
      </vt:variant>
      <vt:variant>
        <vt:lpwstr/>
      </vt:variant>
      <vt:variant>
        <vt:i4>6094851</vt:i4>
      </vt:variant>
      <vt:variant>
        <vt:i4>15</vt:i4>
      </vt:variant>
      <vt:variant>
        <vt:i4>0</vt:i4>
      </vt:variant>
      <vt:variant>
        <vt:i4>5</vt:i4>
      </vt:variant>
      <vt:variant>
        <vt:lpwstr>https://www.ghsindex.org/</vt:lpwstr>
      </vt:variant>
      <vt:variant>
        <vt:lpwstr/>
      </vt:variant>
      <vt:variant>
        <vt:i4>327773</vt:i4>
      </vt:variant>
      <vt:variant>
        <vt:i4>12</vt:i4>
      </vt:variant>
      <vt:variant>
        <vt:i4>0</vt:i4>
      </vt:variant>
      <vt:variant>
        <vt:i4>5</vt:i4>
      </vt:variant>
      <vt:variant>
        <vt:lpwstr>https://www.imperial.ac.uk/media/imperial-college/medicine/sph/ide/gida-fellowships/Imperial-College-COVID19-Global-Impact-26-03-2020.pdf</vt:lpwstr>
      </vt:variant>
      <vt:variant>
        <vt:lpwstr/>
      </vt:variant>
      <vt:variant>
        <vt:i4>3211310</vt:i4>
      </vt:variant>
      <vt:variant>
        <vt:i4>9</vt:i4>
      </vt:variant>
      <vt:variant>
        <vt:i4>0</vt:i4>
      </vt:variant>
      <vt:variant>
        <vt:i4>5</vt:i4>
      </vt:variant>
      <vt:variant>
        <vt:lpwstr>https://stopcov.ge/</vt:lpwstr>
      </vt:variant>
      <vt:variant>
        <vt:lpwstr/>
      </vt:variant>
      <vt:variant>
        <vt:i4>1310725</vt:i4>
      </vt:variant>
      <vt:variant>
        <vt:i4>6</vt:i4>
      </vt:variant>
      <vt:variant>
        <vt:i4>0</vt:i4>
      </vt:variant>
      <vt:variant>
        <vt:i4>5</vt:i4>
      </vt:variant>
      <vt:variant>
        <vt:lpwstr>https://www.who.int/emergencies/diseases/novel-coronavirus-2019/situation-reports</vt:lpwstr>
      </vt:variant>
      <vt:variant>
        <vt:lpwstr/>
      </vt:variant>
      <vt:variant>
        <vt:i4>7471152</vt:i4>
      </vt:variant>
      <vt:variant>
        <vt:i4>3</vt:i4>
      </vt:variant>
      <vt:variant>
        <vt:i4>0</vt:i4>
      </vt:variant>
      <vt:variant>
        <vt:i4>5</vt:i4>
      </vt:variant>
      <vt:variant>
        <vt:lpwstr>https://www.geostat.ge/en/modules/categories/316/population-and-demography</vt:lpwstr>
      </vt:variant>
      <vt:variant>
        <vt:lpwstr/>
      </vt:variant>
      <vt:variant>
        <vt:i4>1572959</vt:i4>
      </vt:variant>
      <vt:variant>
        <vt:i4>0</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RRP Policy-Based Lending</dc:title>
  <dc:subject/>
  <dc:creator>ADB</dc:creator>
  <cp:keywords>adb rrp report recommendation president</cp:keywords>
  <dc:description/>
  <cp:lastModifiedBy>Rogerio De Almeida Vieira De Sa</cp:lastModifiedBy>
  <cp:revision>2</cp:revision>
  <cp:lastPrinted>2014-04-27T02:50:00Z</cp:lastPrinted>
  <dcterms:created xsi:type="dcterms:W3CDTF">2020-05-08T03:27:00Z</dcterms:created>
  <dcterms:modified xsi:type="dcterms:W3CDTF">2020-05-08T03:27:00Z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BDepartmentOwner">
    <vt:lpwstr>18;#SEC|0251849c-5d26-4413-ade9-2e3ee268b27b</vt:lpwstr>
  </property>
  <property fmtid="{D5CDD505-2E9C-101B-9397-08002B2CF9AE}" pid="3" name="ADBDocumentTypeValue">
    <vt:lpwstr>ADB Document</vt:lpwstr>
  </property>
  <property fmtid="{D5CDD505-2E9C-101B-9397-08002B2CF9AE}" pid="4" name="p030e467f78f45b4ae8f7e2c17ea4d82">
    <vt:lpwstr/>
  </property>
  <property fmtid="{D5CDD505-2E9C-101B-9397-08002B2CF9AE}" pid="5" name="a37ff23a602146d4934a49238d370ca5">
    <vt:lpwstr>Templates|c97063a1-ad03-4324-beaa-bf7c225b0bba</vt:lpwstr>
  </property>
  <property fmtid="{D5CDD505-2E9C-101B-9397-08002B2CF9AE}" pid="6" name="k985dbdc596c44d7acaf8184f33920f0">
    <vt:lpwstr/>
  </property>
  <property fmtid="{D5CDD505-2E9C-101B-9397-08002B2CF9AE}" pid="7" name="ADBCountry">
    <vt:lpwstr/>
  </property>
  <property fmtid="{D5CDD505-2E9C-101B-9397-08002B2CF9AE}" pid="8" name="d61536b25a8a4fedb48bb564279be82a">
    <vt:lpwstr>SEC|0251849c-5d26-4413-ade9-2e3ee268b27b</vt:lpwstr>
  </property>
  <property fmtid="{D5CDD505-2E9C-101B-9397-08002B2CF9AE}" pid="9" name="ContentTypeId">
    <vt:lpwstr>0x010100ECA6AC2EA9E9A4448B9434B3A99D2FDA</vt:lpwstr>
  </property>
  <property fmtid="{D5CDD505-2E9C-101B-9397-08002B2CF9AE}" pid="10" name="ADBDocumentType">
    <vt:lpwstr>6;#Templates|c97063a1-ad03-4324-beaa-bf7c225b0bba</vt:lpwstr>
  </property>
  <property fmtid="{D5CDD505-2E9C-101B-9397-08002B2CF9AE}" pid="11" name="ADBSector">
    <vt:lpwstr/>
  </property>
  <property fmtid="{D5CDD505-2E9C-101B-9397-08002B2CF9AE}" pid="12" name="h00e4aaaf4624e24a7df7f06faa038c6">
    <vt:lpwstr>English|16ac8743-31bb-43f8-9a73-533a041667d6</vt:lpwstr>
  </property>
  <property fmtid="{D5CDD505-2E9C-101B-9397-08002B2CF9AE}" pid="13" name="ADBDocumentSecurity">
    <vt:lpwstr/>
  </property>
  <property fmtid="{D5CDD505-2E9C-101B-9397-08002B2CF9AE}" pid="14" name="d01a0ce1b141461dbfb235a3ab729a2c">
    <vt:lpwstr/>
  </property>
  <property fmtid="{D5CDD505-2E9C-101B-9397-08002B2CF9AE}" pid="15" name="ADBDocumentLanguage">
    <vt:lpwstr>1;#English|16ac8743-31bb-43f8-9a73-533a041667d6</vt:lpwstr>
  </property>
  <property fmtid="{D5CDD505-2E9C-101B-9397-08002B2CF9AE}" pid="16" name="AuthorIds_UIVersion_2048">
    <vt:lpwstr>109</vt:lpwstr>
  </property>
  <property fmtid="{D5CDD505-2E9C-101B-9397-08002B2CF9AE}" pid="17" name="ADBCountryDocumentType">
    <vt:lpwstr/>
  </property>
  <property fmtid="{D5CDD505-2E9C-101B-9397-08002B2CF9AE}" pid="18" name="ADBProjectDocumentType">
    <vt:lpwstr/>
  </property>
  <property fmtid="{D5CDD505-2E9C-101B-9397-08002B2CF9AE}" pid="19" name="a0d1b14b197747dfafc19f70ff45d4f6">
    <vt:lpwstr/>
  </property>
  <property fmtid="{D5CDD505-2E9C-101B-9397-08002B2CF9AE}" pid="20" name="ADBProject">
    <vt:lpwstr/>
  </property>
  <property fmtid="{D5CDD505-2E9C-101B-9397-08002B2CF9AE}" pid="21" name="de77c5b4d20d4bdeb0b6d09350193e53">
    <vt:lpwstr/>
  </property>
  <property fmtid="{D5CDD505-2E9C-101B-9397-08002B2CF9AE}" pid="22" name="hca2169e3b0945318411f30479ba40c8">
    <vt:lpwstr/>
  </property>
  <property fmtid="{D5CDD505-2E9C-101B-9397-08002B2CF9AE}" pid="23" name="AuthorIds_UIVersion_1536">
    <vt:lpwstr>110</vt:lpwstr>
  </property>
  <property fmtid="{D5CDD505-2E9C-101B-9397-08002B2CF9AE}" pid="24" name="ADBDivision">
    <vt:lpwstr>4;#CWPF|14fb442e-d1a4-4c70-b930-46052dddc16a</vt:lpwstr>
  </property>
  <property fmtid="{D5CDD505-2E9C-101B-9397-08002B2CF9AE}" pid="25" name="ADBSubRegion">
    <vt:lpwstr/>
  </property>
  <property fmtid="{D5CDD505-2E9C-101B-9397-08002B2CF9AE}" pid="26" name="Segment">
    <vt:lpwstr/>
  </property>
  <property fmtid="{D5CDD505-2E9C-101B-9397-08002B2CF9AE}" pid="27" name="TaxCatchAll">
    <vt:lpwstr>18;#SEC|0251849c-5d26-4413-ade9-2e3ee268b27b;#2;#CWRD|6d71ff58-4882-4388-ab5c-218969b1e9c8;#1;#English|16ac8743-31bb-43f8-9a73-533a041667d6;#4;#CWPF|14fb442e-d1a4-4c70-b930-46052dddc16a</vt:lpwstr>
  </property>
  <property fmtid="{D5CDD505-2E9C-101B-9397-08002B2CF9AE}" pid="28" name="ADBContentGroup">
    <vt:lpwstr>2;#CWRD|6d71ff58-4882-4388-ab5c-218969b1e9c8</vt:lpwstr>
  </property>
  <property fmtid="{D5CDD505-2E9C-101B-9397-08002B2CF9AE}" pid="29" name="h35d3bd3f16b4964a022bfaedf90233f">
    <vt:lpwstr/>
  </property>
  <property fmtid="{D5CDD505-2E9C-101B-9397-08002B2CF9AE}" pid="30" name="kc098dd651dc4f4b9248417ab8ccab6f">
    <vt:lpwstr/>
  </property>
  <property fmtid="{D5CDD505-2E9C-101B-9397-08002B2CF9AE}" pid="31" name="ia017ac09b1942648b563fe0b2b14d52">
    <vt:lpwstr>CWPF|14fb442e-d1a4-4c70-b930-46052dddc16a</vt:lpwstr>
  </property>
  <property fmtid="{D5CDD505-2E9C-101B-9397-08002B2CF9AE}" pid="32" name="Order">
    <vt:r8>23986500</vt:r8>
  </property>
  <property fmtid="{D5CDD505-2E9C-101B-9397-08002B2CF9AE}" pid="33" name="xd_Signature">
    <vt:bool>false</vt:bool>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Update ADB Project Document Type">
    <vt:lpwstr>, </vt:lpwstr>
  </property>
  <property fmtid="{D5CDD505-2E9C-101B-9397-08002B2CF9AE}" pid="38" name="SharedWithUsers">
    <vt:lpwstr>531;#George Kiziria;#553;#Agnes Surry;#563;#David Aaron Robinett;#306;#Muhammad Ehsan Khan;#577;#Lindsay Marie Renaud;#179;#Rogerio De Almeida Vieira De Sa;#582;#Keiko R. Nowacka;#427;#Gladys Puzon Franco;#583;#Sonomi Tanaka;#423;#Mary Alice G. Rosero;#58</vt:lpwstr>
  </property>
</Properties>
</file>